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rFonts w:ascii="Arial" w:cs="Arial" w:eastAsia="Arial" w:hAnsi="Arial"/>
          <w:b/>
          <w:bCs/>
          <w:sz w:val="30"/>
          <w:szCs w:val="30"/>
        </w:rPr>
        <w:t xml:space="preserve">BUNDESGERICHTSHOF</w:t>
      </w:r>
    </w:p>
    <w:p>
      <w:pPr>
        <w:jc w:val="center"/>
      </w:pPr>
      <w:r>
        <w:rPr>
          <w:rFonts w:ascii="Arial" w:cs="Arial" w:eastAsia="Arial" w:hAnsi="Arial"/>
          <w:sz w:val="22"/>
          <w:szCs w:val="22"/>
        </w:rPr>
        <w:t xml:space="preserve">VII. Zivilsenat | Az.: VII ZR 2188/26</w:t>
      </w:r>
    </w:p>
    <w:p>
      <w:r>
        <w:rPr>
          <w:sz w:val="22"/>
          <w:szCs w:val="22"/>
        </w:rPr>
        <w:t xml:space="preserve"/>
      </w:r>
    </w:p>
    <w:p>
      <w:pPr>
        <w:jc w:val="center"/>
      </w:pPr>
      <w:r>
        <w:rPr>
          <w:rFonts w:ascii="Arial" w:cs="Arial" w:eastAsia="Arial" w:hAnsi="Arial"/>
          <w:b/>
          <w:bCs/>
          <w:sz w:val="32"/>
          <w:szCs w:val="32"/>
        </w:rPr>
        <w:t xml:space="preserve">REVISIONSBEGRÜNDUNG</w:t>
      </w:r>
    </w:p>
    <w:p>
      <w:r>
        <w:rPr>
          <w:sz w:val="22"/>
          <w:szCs w:val="22"/>
        </w:rPr>
        <w:t xml:space="preserve"/>
      </w:r>
    </w:p>
    <w:p>
      <w:r>
        <w:rPr>
          <w:rFonts w:ascii="Arial" w:cs="Arial" w:eastAsia="Arial" w:hAnsi="Arial"/>
          <w:sz w:val="22"/>
          <w:szCs w:val="22"/>
        </w:rPr>
        <w:t xml:space="preserve">In dem Revisionsverfahren</w:t>
      </w:r>
    </w:p>
    <w:p>
      <w:r>
        <w:rPr>
          <w:sz w:val="22"/>
          <w:szCs w:val="22"/>
        </w:rPr>
        <w:t xml:space="preserve"/>
      </w:r>
    </w:p>
    <w:p>
      <w:r>
        <w:rPr>
          <w:rFonts w:ascii="Arial" w:cs="Arial" w:eastAsia="Arial" w:hAnsi="Arial"/>
          <w:b/>
          <w:bCs/>
          <w:sz w:val="22"/>
          <w:szCs w:val="22"/>
        </w:rPr>
        <w:t xml:space="preserve">Saalbau Rosenheim GmbH (Beklagte und Revisionsführerin)</w:t>
      </w:r>
    </w:p>
    <w:p>
      <w:r>
        <w:rPr>
          <w:rFonts w:ascii="Arial" w:cs="Arial" w:eastAsia="Arial" w:hAnsi="Arial"/>
          <w:sz w:val="22"/>
          <w:szCs w:val="22"/>
        </w:rPr>
        <w:t xml:space="preserve">vertreten durch RA Dr. Siegbert Wollner (Rechtsanwalt beim BGH), Karlsruhe</w:t>
      </w:r>
    </w:p>
    <w:p>
      <w:r>
        <w:rPr>
          <w:rFonts w:ascii="Arial" w:cs="Arial" w:eastAsia="Arial" w:hAnsi="Arial"/>
          <w:i/>
          <w:iCs/>
          <w:sz w:val="22"/>
          <w:szCs w:val="22"/>
        </w:rPr>
        <w:t xml:space="preserve">— Beklagte und Revisionsführerin —</w:t>
      </w:r>
    </w:p>
    <w:p>
      <w:r>
        <w:rPr>
          <w:sz w:val="22"/>
          <w:szCs w:val="22"/>
        </w:rPr>
        <w:t xml:space="preserve"/>
      </w:r>
    </w:p>
    <w:p>
      <w:r>
        <w:rPr>
          <w:rFonts w:ascii="Arial" w:cs="Arial" w:eastAsia="Arial" w:hAnsi="Arial"/>
          <w:sz w:val="22"/>
          <w:szCs w:val="22"/>
        </w:rPr>
        <w:t xml:space="preserve">gegen</w:t>
      </w:r>
    </w:p>
    <w:p>
      <w:r>
        <w:rPr>
          <w:sz w:val="22"/>
          <w:szCs w:val="22"/>
        </w:rPr>
        <w:t xml:space="preserve"/>
      </w:r>
    </w:p>
    <w:p>
      <w:r>
        <w:rPr>
          <w:rFonts w:ascii="Arial" w:cs="Arial" w:eastAsia="Arial" w:hAnsi="Arial"/>
          <w:b/>
          <w:bCs/>
          <w:sz w:val="22"/>
          <w:szCs w:val="22"/>
        </w:rPr>
        <w:t xml:space="preserve">Margarete Pohlmann (Klägerin und Revisionsbeklagte)</w:t>
      </w:r>
    </w:p>
    <w:p>
      <w:r>
        <w:rPr>
          <w:rFonts w:ascii="Arial" w:cs="Arial" w:eastAsia="Arial" w:hAnsi="Arial"/>
          <w:sz w:val="22"/>
          <w:szCs w:val="22"/>
        </w:rPr>
        <w:t xml:space="preserve">vertreten durch RAin Dr. Elke Schottmann (Rechtsanwältin beim BGH), Frankfurt am Main</w:t>
      </w:r>
    </w:p>
    <w:p>
      <w:r>
        <w:rPr>
          <w:rFonts w:ascii="Arial" w:cs="Arial" w:eastAsia="Arial" w:hAnsi="Arial"/>
          <w:i/>
          <w:iCs/>
          <w:sz w:val="22"/>
          <w:szCs w:val="22"/>
        </w:rPr>
        <w:t xml:space="preserve">— Klägerin und Revisionsbeklagte —</w:t>
      </w:r>
    </w:p>
    <w:p>
      <w:r>
        <w:rPr>
          <w:sz w:val="22"/>
          <w:szCs w:val="22"/>
        </w:rPr>
        <w:t xml:space="preserve"/>
      </w:r>
    </w:p>
    <w:p>
      <w:r>
        <w:rPr>
          <w:rFonts w:ascii="Arial" w:cs="Arial" w:eastAsia="Arial" w:hAnsi="Arial"/>
          <w:i/>
          <w:iCs/>
          <w:sz w:val="20"/>
          <w:szCs w:val="20"/>
        </w:rPr>
        <w:t xml:space="preserve">Vorinstanz: OLG München 13 U 417/27, Urteil vom 30.04.2028 | Eingereicht: 15.07.2028</w:t>
      </w:r>
    </w:p>
    <w:p>
      <w:r>
        <w:rPr>
          <w:sz w:val="22"/>
          <w:szCs w:val="22"/>
        </w:rPr>
        <w:t xml:space="preserve"/>
      </w:r>
    </w:p>
    <w:p>
      <w:pPr>
        <w:pStyle w:val="Heading1"/>
      </w:pPr>
      <w:r>
        <w:rPr>
          <w:rFonts w:ascii="Arial" w:cs="Arial" w:eastAsia="Arial" w:hAnsi="Arial"/>
          <w:b/>
          <w:bCs/>
          <w:sz w:val="26"/>
          <w:szCs w:val="26"/>
        </w:rPr>
        <w:t xml:space="preserve">I. Revisionsanträge</w:t>
      </w:r>
    </w:p>
    <w:p>
      <w:r>
        <w:rPr>
          <w:rFonts w:ascii="Arial" w:cs="Arial" w:eastAsia="Arial" w:hAnsi="Arial"/>
          <w:sz w:val="22"/>
          <w:szCs w:val="22"/>
        </w:rPr>
        <w:t xml:space="preserve">1. Das Urteil des OLG München vom 30.04.2028, Az. 13 U 417/27, wird aufgehoben, soweit die Beklagte zur Zahlung des auf die AGB-Klausel § 9 entfallenden Teilbetrages von 109.700 EUR nebst Zinsen verurteilt wurde.</w:t>
      </w:r>
    </w:p>
    <w:p>
      <w:r>
        <w:rPr>
          <w:sz w:val="22"/>
          <w:szCs w:val="22"/>
        </w:rPr>
        <w:t xml:space="preserve"/>
      </w:r>
    </w:p>
    <w:p>
      <w:r>
        <w:rPr>
          <w:rFonts w:ascii="Arial" w:cs="Arial" w:eastAsia="Arial" w:hAnsi="Arial"/>
          <w:sz w:val="22"/>
          <w:szCs w:val="22"/>
        </w:rPr>
        <w:t xml:space="preserve">2. Hilfsweise: Die Sache wird zur erneuten Verhandlung an das OLG München zurückverwiesen.</w:t>
      </w:r>
    </w:p>
    <w:p>
      <w:r>
        <w:rPr>
          <w:sz w:val="22"/>
          <w:szCs w:val="22"/>
        </w:rPr>
        <w:t xml:space="preserve"/>
      </w:r>
    </w:p>
    <w:p>
      <w:pPr>
        <w:pStyle w:val="Heading1"/>
      </w:pPr>
      <w:r>
        <w:rPr>
          <w:rFonts w:ascii="Arial" w:cs="Arial" w:eastAsia="Arial" w:hAnsi="Arial"/>
          <w:b/>
          <w:bCs/>
          <w:sz w:val="26"/>
          <w:szCs w:val="26"/>
        </w:rPr>
        <w:t xml:space="preserve">II. Zulässigkeit und Revisionsgründe</w:t>
      </w:r>
    </w:p>
    <w:p>
      <w:r>
        <w:rPr>
          <w:rFonts w:ascii="Arial" w:cs="Arial" w:eastAsia="Arial" w:hAnsi="Arial"/>
          <w:b/>
          <w:bCs/>
          <w:sz w:val="22"/>
          <w:szCs w:val="22"/>
        </w:rPr>
        <w:t xml:space="preserve">A. Grundsätzliche Bedeutung (§ 543 Abs. 2 Nr. 1 ZPO)</w:t>
      </w:r>
    </w:p>
    <w:p>
      <w:r>
        <w:rPr>
          <w:rFonts w:ascii="Arial" w:cs="Arial" w:eastAsia="Arial" w:hAnsi="Arial"/>
          <w:sz w:val="22"/>
          <w:szCs w:val="22"/>
        </w:rPr>
        <w:t xml:space="preserve">Die Revision ist zugelassen wegen grundsätzlicher Bedeutung der Rechtsfrage, ob eine AGB-Klausel in einem Verbraucher-Bauvertrag, die dem Bauherrn die Mehrkosten unvorhergesehener Bodenverhältnisse aufbürdet, nach § 307 BGB unwirksam ist. Diese Frage betrifft bundesweit eine Vielzahl von Bauverträgen und ist höchstrichterlich noch nicht abschließend entschieden.</w:t>
      </w:r>
    </w:p>
    <w:p>
      <w:r>
        <w:rPr>
          <w:sz w:val="22"/>
          <w:szCs w:val="22"/>
        </w:rPr>
        <w:t xml:space="preserve"/>
      </w:r>
    </w:p>
    <w:p>
      <w:r>
        <w:rPr>
          <w:rFonts w:ascii="Arial" w:cs="Arial" w:eastAsia="Arial" w:hAnsi="Arial"/>
          <w:b/>
          <w:bCs/>
          <w:sz w:val="22"/>
          <w:szCs w:val="22"/>
        </w:rPr>
        <w:t xml:space="preserve">B. Verletzung materiellen Rechts — § 307 BGB</w:t>
      </w:r>
    </w:p>
    <w:p>
      <w:r>
        <w:rPr>
          <w:rFonts w:ascii="Arial" w:cs="Arial" w:eastAsia="Arial" w:hAnsi="Arial"/>
          <w:sz w:val="22"/>
          <w:szCs w:val="22"/>
        </w:rPr>
        <w:t xml:space="preserve">Das OLG hat § 307 BGB unrichtig angewendet. Die AGB-Klausel § 9 des Werkvertrages konkretisiert eine bereits im Gesetz angelegte Risikoverteilung: Unvorhergesehene Bodenverhältnisse liegen typischerweise im Risikobereich des Grundstückseigentümers. § 7 VOB/B enthält eine vergleichbare Regelung und ist als branchenübliche Risikoverteilung allgemein anerkannt. Das OLG hat dies nicht berücksichtigt.</w:t>
      </w:r>
    </w:p>
    <w:p>
      <w:r>
        <w:rPr>
          <w:sz w:val="22"/>
          <w:szCs w:val="22"/>
        </w:rPr>
        <w:t xml:space="preserve"/>
      </w:r>
    </w:p>
    <w:p>
      <w:r>
        <w:rPr>
          <w:rFonts w:ascii="Arial" w:cs="Arial" w:eastAsia="Arial" w:hAnsi="Arial"/>
          <w:b/>
          <w:bCs/>
          <w:sz w:val="22"/>
          <w:szCs w:val="22"/>
        </w:rPr>
        <w:t xml:space="preserve">C. Hinweispflicht — unrichtige Anwendung von BGH VII ZR 282/14</w:t>
      </w:r>
    </w:p>
    <w:p>
      <w:r>
        <w:rPr>
          <w:rFonts w:ascii="Arial" w:cs="Arial" w:eastAsia="Arial" w:hAnsi="Arial"/>
          <w:sz w:val="22"/>
          <w:szCs w:val="22"/>
        </w:rPr>
        <w:t xml:space="preserve">BGH VII ZR 282/14 (NJW 2015, 1952) bejaht Hinweispflichten nur bei erkennbaren Bodenproblemen. Die Erkennbarkeit muss auf konkreten Anhaltspunkten beruhen, die für ein Bauunternehmen ohne Bodengutachten wahrnehmbar sind. Die allgemeine Lage eines Grundstücks in der Nachbarschaft einer ehemaligen Tankstelle genügt hierfür nicht.</w:t>
      </w:r>
    </w:p>
    <w:p>
      <w:r>
        <w:rPr>
          <w:sz w:val="22"/>
          <w:szCs w:val="22"/>
        </w:rPr>
        <w:t xml:space="preserve"/>
      </w:r>
    </w:p>
    <w:p>
      <w:pPr>
        <w:pStyle w:val="Heading1"/>
      </w:pPr>
      <w:r>
        <w:rPr>
          <w:rFonts w:ascii="Arial" w:cs="Arial" w:eastAsia="Arial" w:hAnsi="Arial"/>
          <w:b/>
          <w:bCs/>
          <w:sz w:val="26"/>
          <w:szCs w:val="26"/>
        </w:rPr>
        <w:t xml:space="preserve">III. Praxisbedeutung</w:t>
      </w:r>
    </w:p>
    <w:p>
      <w:r>
        <w:rPr>
          <w:rFonts w:ascii="Arial" w:cs="Arial" w:eastAsia="Arial" w:hAnsi="Arial"/>
          <w:sz w:val="22"/>
          <w:szCs w:val="22"/>
        </w:rPr>
        <w:t xml:space="preserve">Bundesweit wurden 2024 über 120.000 Wohnhäuser errichtet. Bei einem geschätzten Anteil von 15 % mit kontaminationsverdächtigen Grundstücken sind rund 18.000 Bauverträge von der aufgeworfenen Rechtsfrage betroffen. Die Rechtsunsicherheit für die Baubranche ist erheblich; eine höchstrichterliche Klärung ist geboten.</w:t>
      </w:r>
    </w:p>
    <w:p>
      <w:r>
        <w:rPr>
          <w:sz w:val="22"/>
          <w:szCs w:val="22"/>
        </w:rPr>
        <w:t xml:space="preserve"/>
      </w:r>
    </w:p>
    <w:p>
      <w:pPr>
        <w:pStyle w:val="Heading1"/>
      </w:pPr>
      <w:r>
        <w:rPr>
          <w:rFonts w:ascii="Arial" w:cs="Arial" w:eastAsia="Arial" w:hAnsi="Arial"/>
          <w:b/>
          <w:bCs/>
          <w:sz w:val="26"/>
          <w:szCs w:val="26"/>
        </w:rPr>
        <w:t xml:space="preserve">IV. Rechtsquellen</w:t>
      </w:r>
    </w:p>
    <w:p>
      <w:r>
        <w:rPr>
          <w:rFonts w:ascii="Arial" w:cs="Arial" w:eastAsia="Arial" w:hAnsi="Arial"/>
          <w:i/>
          <w:iCs/>
          <w:sz w:val="20"/>
          <w:szCs w:val="20"/>
        </w:rPr>
        <w:t xml:space="preserve">§ 543 ZPO (Revisionszulassung): dejure.org/gesetze/ZPO/543.html | § 551 ZPO: dejure.org/gesetze/ZPO/551.html | § 307 BGB: dejure.org/gesetze/BGB/307.html | BGH VII ZR 282/14: bundesgerichtshof.de</w:t>
      </w:r>
    </w:p>
    <w:p>
      <w:r>
        <w:rPr>
          <w:sz w:val="22"/>
          <w:szCs w:val="22"/>
        </w:rPr>
        <w:t xml:space="preserve"/>
      </w:r>
    </w:p>
    <w:p>
      <w:pPr>
        <w:jc w:val="right"/>
      </w:pPr>
      <w:r>
        <w:rPr>
          <w:rFonts w:ascii="Arial" w:cs="Arial" w:eastAsia="Arial" w:hAnsi="Arial"/>
          <w:sz w:val="22"/>
          <w:szCs w:val="22"/>
        </w:rPr>
        <w:t xml:space="preserve">Karlsruhe, 15.07.2028</w:t>
      </w:r>
    </w:p>
    <w:p>
      <w:r>
        <w:rPr>
          <w:sz w:val="22"/>
          <w:szCs w:val="22"/>
        </w:rPr>
        <w:t xml:space="preserve"/>
      </w:r>
    </w:p>
    <w:p>
      <w:pPr>
        <w:jc w:val="right"/>
      </w:pPr>
      <w:r>
        <w:rPr>
          <w:rFonts w:ascii="Arial" w:cs="Arial" w:eastAsia="Arial" w:hAnsi="Arial"/>
          <w:b/>
          <w:bCs/>
          <w:sz w:val="22"/>
          <w:szCs w:val="22"/>
        </w:rPr>
        <w:t xml:space="preserve">Dr. Siegbert Wollner</w:t>
      </w:r>
    </w:p>
    <w:p>
      <w:pPr>
        <w:jc w:val="right"/>
      </w:pPr>
      <w:r>
        <w:rPr>
          <w:rFonts w:ascii="Arial" w:cs="Arial" w:eastAsia="Arial" w:hAnsi="Arial"/>
          <w:sz w:val="22"/>
          <w:szCs w:val="22"/>
        </w:rPr>
        <w:t xml:space="preserve">Rechtsanwalt beim Bundesgerichtshof</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2026-05-30T20:17:24.602Z</dcterms:created>
  <dcterms:modified xsi:type="dcterms:W3CDTF">2026-05-30T20:17:24.602Z</dcterms:modified>
</cp:coreProperties>
</file>

<file path=docProps/custom.xml><?xml version="1.0" encoding="utf-8"?>
<Properties xmlns="http://schemas.openxmlformats.org/officeDocument/2006/custom-properties" xmlns:vt="http://schemas.openxmlformats.org/officeDocument/2006/docPropsVTypes"/>
</file>