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
        <w:jc w:val="center"/>
      </w:pPr>
      <w:r>
        <w:rPr>
          <w:rFonts w:ascii="Arial" w:cs="Arial" w:eastAsia="Arial" w:hAnsi="Arial"/>
          <w:b/>
          <w:bCs/>
          <w:color w:val="1B3A5C"/>
          <w:sz w:val="36"/>
          <w:szCs w:val="36"/>
        </w:rPr>
        <w:t xml:space="preserve">DATENSCHUTZ-FOLGENABSCHÄTZUNG</w:t>
      </w:r>
    </w:p>
    <w:p>
      <w:pPr>
        <w:spacing w:after="60"/>
        <w:jc w:val="center"/>
      </w:pPr>
      <w:r>
        <w:rPr>
          <w:rFonts w:ascii="Arial" w:cs="Arial" w:eastAsia="Arial" w:hAnsi="Arial"/>
          <w:color w:val="1B3A5C"/>
          <w:sz w:val="26"/>
          <w:szCs w:val="26"/>
        </w:rPr>
        <w:t xml:space="preserve">gemäß Art. 35 DSGVO</w:t>
      </w:r>
    </w:p>
    <w:p>
      <w:pPr>
        <w:spacing w:after="400"/>
        <w:jc w:val="center"/>
      </w:pPr>
      <w:r>
        <w:rPr>
          <w:rFonts w:ascii="Arial" w:cs="Arial" w:eastAsia="Arial" w:hAnsi="Arial"/>
          <w:i/>
          <w:iCs/>
          <w:sz w:val="22"/>
          <w:szCs w:val="22"/>
        </w:rPr>
        <w:t xml:space="preserve">BEM-Gesundheitsdaten im Kontext des Ransomware-Vorfalls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40%"/>
            <w:shd w:fill="EDF2F7" w:val="clear"/>
          </w:tcPr>
          <w:p>
            <w:r>
              <w:rPr>
                <w:rFonts w:ascii="Arial" w:cs="Arial" w:eastAsia="Arial" w:hAnsi="Arial"/>
                <w:b/>
                <w:bCs/>
                <w:sz w:val="18"/>
                <w:szCs w:val="18"/>
              </w:rPr>
              <w:t xml:space="preserve">Verantwortlicher:</w:t>
            </w:r>
          </w:p>
        </w:tc>
        <w:tc>
          <w:tcPr>
            <w:tcW w:type="pct" w:w="60%"/>
          </w:tcPr>
          <w:p>
            <w:r>
              <w:rPr>
                <w:rFonts w:ascii="Arial" w:cs="Arial" w:eastAsia="Arial" w:hAnsi="Arial"/>
                <w:sz w:val="18"/>
                <w:szCs w:val="18"/>
              </w:rPr>
              <w:t xml:space="preserve">Frischetrans Mittelrhein GmbH, Binger Straße 142, 55131 Mainz</w:t>
            </w:r>
          </w:p>
        </w:tc>
      </w:tr>
      <w:tr>
        <w:tc>
          <w:tcPr>
            <w:tcW w:type="pct" w:w="40%"/>
            <w:shd w:fill="EDF2F7" w:val="clear"/>
          </w:tcPr>
          <w:p>
            <w:r>
              <w:rPr>
                <w:rFonts w:ascii="Arial" w:cs="Arial" w:eastAsia="Arial" w:hAnsi="Arial"/>
                <w:b/>
                <w:bCs/>
                <w:sz w:val="18"/>
                <w:szCs w:val="18"/>
              </w:rPr>
              <w:t xml:space="preserve">Vertreten durch:</w:t>
            </w:r>
          </w:p>
        </w:tc>
        <w:tc>
          <w:tcPr>
            <w:tcW w:type="pct" w:w="60%"/>
          </w:tcPr>
          <w:p>
            <w:r>
              <w:rPr>
                <w:rFonts w:ascii="Arial" w:cs="Arial" w:eastAsia="Arial" w:hAnsi="Arial"/>
                <w:sz w:val="18"/>
                <w:szCs w:val="18"/>
              </w:rPr>
              <w:t xml:space="preserve">Theresia Wallbruck (Geschäftsführerin)</w:t>
            </w:r>
          </w:p>
        </w:tc>
      </w:tr>
      <w:tr>
        <w:tc>
          <w:tcPr>
            <w:tcW w:type="pct" w:w="40%"/>
            <w:shd w:fill="EDF2F7" w:val="clear"/>
          </w:tcPr>
          <w:p>
            <w:r>
              <w:rPr>
                <w:rFonts w:ascii="Arial" w:cs="Arial" w:eastAsia="Arial" w:hAnsi="Arial"/>
                <w:b/>
                <w:bCs/>
                <w:sz w:val="18"/>
                <w:szCs w:val="18"/>
              </w:rPr>
              <w:t xml:space="preserve">Datenschutzbeauftragter:</w:t>
            </w:r>
          </w:p>
        </w:tc>
        <w:tc>
          <w:tcPr>
            <w:tcW w:type="pct" w:w="60%"/>
          </w:tcPr>
          <w:p>
            <w:r>
              <w:rPr>
                <w:rFonts w:ascii="Arial" w:cs="Arial" w:eastAsia="Arial" w:hAnsi="Arial"/>
                <w:sz w:val="18"/>
                <w:szCs w:val="18"/>
              </w:rPr>
              <w:t xml:space="preserve">Markus Feilke, Datenschutzkanzlei Rhein-Main</w:t>
            </w:r>
          </w:p>
        </w:tc>
      </w:tr>
      <w:tr>
        <w:tc>
          <w:tcPr>
            <w:tcW w:type="pct" w:w="40%"/>
            <w:shd w:fill="EDF2F7" w:val="clear"/>
          </w:tcPr>
          <w:p>
            <w:r>
              <w:rPr>
                <w:rFonts w:ascii="Arial" w:cs="Arial" w:eastAsia="Arial" w:hAnsi="Arial"/>
                <w:b/>
                <w:bCs/>
                <w:sz w:val="18"/>
                <w:szCs w:val="18"/>
              </w:rPr>
              <w:t xml:space="preserve">Rechtliche Beratung:</w:t>
            </w:r>
          </w:p>
        </w:tc>
        <w:tc>
          <w:tcPr>
            <w:tcW w:type="pct" w:w="60%"/>
          </w:tcPr>
          <w:p>
            <w:r>
              <w:rPr>
                <w:rFonts w:ascii="Arial" w:cs="Arial" w:eastAsia="Arial" w:hAnsi="Arial"/>
                <w:sz w:val="18"/>
                <w:szCs w:val="18"/>
              </w:rPr>
              <w:t xml:space="preserve">RA Lukas Drosten, Kanzlei Drosten &amp; Pekonkur, Mainz</w:t>
            </w:r>
          </w:p>
        </w:tc>
      </w:tr>
      <w:tr>
        <w:tc>
          <w:tcPr>
            <w:tcW w:type="pct" w:w="40%"/>
            <w:shd w:fill="EDF2F7" w:val="clear"/>
          </w:tcPr>
          <w:p>
            <w:r>
              <w:rPr>
                <w:rFonts w:ascii="Arial" w:cs="Arial" w:eastAsia="Arial" w:hAnsi="Arial"/>
                <w:b/>
                <w:bCs/>
                <w:sz w:val="18"/>
                <w:szCs w:val="18"/>
              </w:rPr>
              <w:t xml:space="preserve">Erstellt am:</w:t>
            </w:r>
          </w:p>
        </w:tc>
        <w:tc>
          <w:tcPr>
            <w:tcW w:type="pct" w:w="60%"/>
          </w:tcPr>
          <w:p>
            <w:r>
              <w:rPr>
                <w:rFonts w:ascii="Arial" w:cs="Arial" w:eastAsia="Arial" w:hAnsi="Arial"/>
                <w:sz w:val="18"/>
                <w:szCs w:val="18"/>
              </w:rPr>
              <w:t xml:space="preserve">14.05.2026</w:t>
            </w:r>
          </w:p>
        </w:tc>
      </w:tr>
      <w:tr>
        <w:tc>
          <w:tcPr>
            <w:tcW w:type="pct" w:w="40%"/>
            <w:shd w:fill="EDF2F7" w:val="clear"/>
          </w:tcPr>
          <w:p>
            <w:r>
              <w:rPr>
                <w:rFonts w:ascii="Arial" w:cs="Arial" w:eastAsia="Arial" w:hAnsi="Arial"/>
                <w:b/>
                <w:bCs/>
                <w:sz w:val="18"/>
                <w:szCs w:val="18"/>
              </w:rPr>
              <w:t xml:space="preserve">Status:</w:t>
            </w:r>
          </w:p>
        </w:tc>
        <w:tc>
          <w:tcPr>
            <w:tcW w:type="pct" w:w="60%"/>
          </w:tcPr>
          <w:p>
            <w:r>
              <w:rPr>
                <w:rFonts w:ascii="Arial" w:cs="Arial" w:eastAsia="Arial" w:hAnsi="Arial"/>
                <w:sz w:val="18"/>
                <w:szCs w:val="18"/>
              </w:rPr>
              <w:t xml:space="preserve">Finale Version — vorgelegt an LfDI RLP</w:t>
            </w:r>
          </w:p>
        </w:tc>
      </w:tr>
      <w:tr>
        <w:tc>
          <w:tcPr>
            <w:tcW w:type="pct" w:w="40%"/>
            <w:shd w:fill="EDF2F7" w:val="clear"/>
          </w:tcPr>
          <w:p>
            <w:r>
              <w:rPr>
                <w:rFonts w:ascii="Arial" w:cs="Arial" w:eastAsia="Arial" w:hAnsi="Arial"/>
                <w:b/>
                <w:bCs/>
                <w:sz w:val="18"/>
                <w:szCs w:val="18"/>
              </w:rPr>
              <w:t xml:space="preserve">Rechtsgrundlagen:</w:t>
            </w:r>
          </w:p>
        </w:tc>
        <w:tc>
          <w:tcPr>
            <w:tcW w:type="pct" w:w="60%"/>
          </w:tcPr>
          <w:p>
            <w:r>
              <w:rPr>
                <w:rFonts w:ascii="Arial" w:cs="Arial" w:eastAsia="Arial" w:hAnsi="Arial"/>
                <w:sz w:val="18"/>
                <w:szCs w:val="18"/>
              </w:rPr>
              <w:t xml:space="preserve">Art. 35 DSGVO, § 67 SGB IX, § 26 Abs. 3 BDSG</w:t>
            </w:r>
          </w:p>
        </w:tc>
      </w:tr>
    </w:tbl>
    <w:p>
      <w:pPr>
        <w:spacing w:after="120" w:before="240"/>
      </w:pPr>
      <w:r>
        <w:rPr>
          <w:rFonts w:ascii="Arial" w:cs="Arial" w:eastAsia="Arial" w:hAnsi="Arial"/>
          <w:b/>
          <w:bCs/>
          <w:color w:val="2C3E50"/>
          <w:sz w:val="24"/>
          <w:szCs w:val="24"/>
        </w:rPr>
        <w:t xml:space="preserve">1. Anlass und Gegenstand der DSFA</w:t>
      </w:r>
    </w:p>
    <w:p>
      <w:pPr>
        <w:spacing w:after="60" w:before="60"/>
        <w:jc w:val="both"/>
      </w:pPr>
      <w:r>
        <w:rPr>
          <w:rFonts w:ascii="Arial" w:cs="Arial" w:eastAsia="Arial" w:hAnsi="Arial"/>
          <w:sz w:val="22"/>
          <w:szCs w:val="22"/>
        </w:rPr>
        <w:t xml:space="preserve">Der Ransomware-Angriff vom 06.05.2026 auf die Frischetrans Mittelrhein GmbH hat zur Exfiltration von ca. 2,1 TB Unternehmensdaten geführt. Darunter befinden sich Gesundheitsdaten im Sinne des Art. 9 Abs. 1 DSGVO von 38 Beschäftigten aus laufenden oder abgeschlossenen BEM-Verfahren (Betriebliches Eingliederungsmanagement, § 167 Abs. 2 SGB IX).</w:t>
      </w:r>
    </w:p>
    <w:p>
      <w:pPr>
        <w:spacing w:after="60" w:before="60"/>
        <w:jc w:val="both"/>
      </w:pPr>
      <w:r>
        <w:rPr>
          <w:rFonts w:ascii="Arial" w:cs="Arial" w:eastAsia="Arial" w:hAnsi="Arial"/>
          <w:sz w:val="22"/>
          <w:szCs w:val="22"/>
        </w:rPr>
        <w:t xml:space="preserve">Die vorliegende DSFA wurde durch den LfDI Rheinland-Pfalz im Schreiben vom 09.05.2026 angefordert und von der Frischetrans gemäß Art. 35 DSGVO durchgeführt. Gesundheitsdaten im Beschäftigungskontext erfordern nach Art. 35 Abs. 3 lit. b) DSGVO grundsätzlich eine vorherige DSFA.</w:t>
      </w:r>
    </w:p>
    <w:p>
      <w:pPr>
        <w:spacing w:after="120" w:before="240"/>
      </w:pPr>
      <w:r>
        <w:rPr>
          <w:rFonts w:ascii="Arial" w:cs="Arial" w:eastAsia="Arial" w:hAnsi="Arial"/>
          <w:b/>
          <w:bCs/>
          <w:color w:val="2C3E50"/>
          <w:sz w:val="24"/>
          <w:szCs w:val="24"/>
        </w:rPr>
        <w:t xml:space="preserve">2. Beschreibung der Verarbeitungstätigkeit</w:t>
      </w:r>
    </w:p>
    <w:p>
      <w:pPr>
        <w:spacing w:after="60" w:before="100"/>
      </w:pPr>
      <w:r>
        <w:rPr>
          <w:rFonts w:ascii="Arial" w:cs="Arial" w:eastAsia="Arial" w:hAnsi="Arial"/>
          <w:b/>
          <w:bCs/>
          <w:sz w:val="22"/>
          <w:szCs w:val="22"/>
        </w:rPr>
        <w:t xml:space="preserve">Zweck:</w:t>
      </w:r>
    </w:p>
    <w:p>
      <w:pPr>
        <w:spacing w:after="60" w:before="60"/>
        <w:jc w:val="both"/>
      </w:pPr>
      <w:r>
        <w:rPr>
          <w:rFonts w:ascii="Arial" w:cs="Arial" w:eastAsia="Arial" w:hAnsi="Arial"/>
          <w:sz w:val="22"/>
          <w:szCs w:val="22"/>
        </w:rPr>
        <w:t xml:space="preserve">Betriebliches Eingliederungsmanagement (BEM) nach § 167 Abs. 2 SGB IX für Beschäftigte mit mehr als 6 Wochen Arbeitsunfähigkeit innerhalb eines Jahres. Zweck: Wiedereingliederung und Prävention weiterer Ausfallzeiten.</w:t>
      </w:r>
    </w:p>
    <w:p>
      <w:pPr>
        <w:spacing w:after="60" w:before="100"/>
      </w:pPr>
      <w:r>
        <w:rPr>
          <w:rFonts w:ascii="Arial" w:cs="Arial" w:eastAsia="Arial" w:hAnsi="Arial"/>
          <w:b/>
          <w:bCs/>
          <w:sz w:val="22"/>
          <w:szCs w:val="22"/>
        </w:rPr>
        <w:t xml:space="preserve">Rechtsgrundlagen:</w:t>
      </w:r>
    </w:p>
    <w:p>
      <w:pPr>
        <w:spacing w:after="60" w:before="60"/>
        <w:jc w:val="both"/>
      </w:pPr>
      <w:r>
        <w:rPr>
          <w:rFonts w:ascii="Arial" w:cs="Arial" w:eastAsia="Arial" w:hAnsi="Arial"/>
          <w:sz w:val="22"/>
          <w:szCs w:val="22"/>
        </w:rPr>
        <w:t xml:space="preserve">Art. 9 Abs. 2 lit. b) DSGVO i.V.m. § 26 Abs. 3 BDSG; § 167 Abs. 2 SGB IX.</w:t>
      </w:r>
    </w:p>
    <w:p>
      <w:pPr>
        <w:spacing w:after="60" w:before="100"/>
      </w:pPr>
      <w:r>
        <w:rPr>
          <w:rFonts w:ascii="Arial" w:cs="Arial" w:eastAsia="Arial" w:hAnsi="Arial"/>
          <w:b/>
          <w:bCs/>
          <w:sz w:val="22"/>
          <w:szCs w:val="22"/>
        </w:rPr>
        <w:t xml:space="preserve">Verarbeitete Datenkategorien (Art. 9 DSGVO):</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2C3E50" w:val="clear"/>
          </w:tcPr>
          <w:p>
            <w:r>
              <w:rPr>
                <w:rFonts w:ascii="Arial" w:cs="Arial" w:eastAsia="Arial" w:hAnsi="Arial"/>
                <w:b/>
                <w:bCs/>
                <w:sz w:val="18"/>
                <w:szCs w:val="18"/>
              </w:rPr>
              <w:t xml:space="preserve">Datenkategorie</w:t>
            </w:r>
          </w:p>
        </w:tc>
        <w:tc>
          <w:tcPr>
            <w:shd w:fill="2C3E50" w:val="clear"/>
          </w:tcPr>
          <w:p>
            <w:r>
              <w:rPr>
                <w:rFonts w:ascii="Arial" w:cs="Arial" w:eastAsia="Arial" w:hAnsi="Arial"/>
                <w:b/>
                <w:bCs/>
                <w:sz w:val="18"/>
                <w:szCs w:val="18"/>
              </w:rPr>
              <w:t xml:space="preserve">Anzahl Betroffene</w:t>
            </w:r>
          </w:p>
        </w:tc>
      </w:tr>
      <w:tr>
        <w:tc>
          <w:p>
            <w:r>
              <w:rPr>
                <w:rFonts w:ascii="Arial" w:cs="Arial" w:eastAsia="Arial" w:hAnsi="Arial"/>
                <w:sz w:val="18"/>
                <w:szCs w:val="18"/>
              </w:rPr>
              <w:t xml:space="preserve">Diagnosen und Erkrankungen</w:t>
            </w:r>
          </w:p>
        </w:tc>
        <w:tc>
          <w:p>
            <w:r>
              <w:rPr>
                <w:rFonts w:ascii="Arial" w:cs="Arial" w:eastAsia="Arial" w:hAnsi="Arial"/>
                <w:sz w:val="18"/>
                <w:szCs w:val="18"/>
              </w:rPr>
              <w:t xml:space="preserve">38</w:t>
            </w:r>
          </w:p>
        </w:tc>
      </w:tr>
      <w:tr>
        <w:tc>
          <w:p>
            <w:r>
              <w:rPr>
                <w:rFonts w:ascii="Arial" w:cs="Arial" w:eastAsia="Arial" w:hAnsi="Arial"/>
                <w:sz w:val="18"/>
                <w:szCs w:val="18"/>
              </w:rPr>
              <w:t xml:space="preserve">Therapieverläufe und Behandlungsberichte</w:t>
            </w:r>
          </w:p>
        </w:tc>
        <w:tc>
          <w:p>
            <w:r>
              <w:rPr>
                <w:rFonts w:ascii="Arial" w:cs="Arial" w:eastAsia="Arial" w:hAnsi="Arial"/>
                <w:sz w:val="18"/>
                <w:szCs w:val="18"/>
              </w:rPr>
              <w:t xml:space="preserve">38</w:t>
            </w:r>
          </w:p>
        </w:tc>
      </w:tr>
      <w:tr>
        <w:tc>
          <w:p>
            <w:r>
              <w:rPr>
                <w:rFonts w:ascii="Arial" w:cs="Arial" w:eastAsia="Arial" w:hAnsi="Arial"/>
                <w:sz w:val="18"/>
                <w:szCs w:val="18"/>
              </w:rPr>
              <w:t xml:space="preserve">Ärztliche Atteste und Gutachten</w:t>
            </w:r>
          </w:p>
        </w:tc>
        <w:tc>
          <w:p>
            <w:r>
              <w:rPr>
                <w:rFonts w:ascii="Arial" w:cs="Arial" w:eastAsia="Arial" w:hAnsi="Arial"/>
                <w:sz w:val="18"/>
                <w:szCs w:val="18"/>
              </w:rPr>
              <w:t xml:space="preserve">38</w:t>
            </w:r>
          </w:p>
        </w:tc>
      </w:tr>
      <w:tr>
        <w:tc>
          <w:p>
            <w:r>
              <w:rPr>
                <w:rFonts w:ascii="Arial" w:cs="Arial" w:eastAsia="Arial" w:hAnsi="Arial"/>
                <w:sz w:val="18"/>
                <w:szCs w:val="18"/>
              </w:rPr>
              <w:t xml:space="preserve">Betriebsärztliche Bewertungen</w:t>
            </w:r>
          </w:p>
        </w:tc>
        <w:tc>
          <w:p>
            <w:r>
              <w:rPr>
                <w:rFonts w:ascii="Arial" w:cs="Arial" w:eastAsia="Arial" w:hAnsi="Arial"/>
                <w:sz w:val="18"/>
                <w:szCs w:val="18"/>
              </w:rPr>
              <w:t xml:space="preserve">38</w:t>
            </w:r>
          </w:p>
        </w:tc>
      </w:tr>
      <w:tr>
        <w:tc>
          <w:p>
            <w:r>
              <w:rPr>
                <w:rFonts w:ascii="Arial" w:cs="Arial" w:eastAsia="Arial" w:hAnsi="Arial"/>
                <w:sz w:val="18"/>
                <w:szCs w:val="18"/>
              </w:rPr>
              <w:t xml:space="preserve">Rehabilitationsmaßnahmen</w:t>
            </w:r>
          </w:p>
        </w:tc>
        <w:tc>
          <w:p>
            <w:r>
              <w:rPr>
                <w:rFonts w:ascii="Arial" w:cs="Arial" w:eastAsia="Arial" w:hAnsi="Arial"/>
                <w:sz w:val="18"/>
                <w:szCs w:val="18"/>
              </w:rPr>
              <w:t xml:space="preserve">22</w:t>
            </w:r>
          </w:p>
        </w:tc>
      </w:tr>
      <w:tr>
        <w:tc>
          <w:tcPr>
            <w:shd w:fill="EDF2F7" w:val="clear"/>
          </w:tcPr>
          <w:p>
            <w:r>
              <w:rPr>
                <w:rFonts w:ascii="Arial" w:cs="Arial" w:eastAsia="Arial" w:hAnsi="Arial"/>
                <w:b/>
                <w:bCs/>
                <w:sz w:val="18"/>
                <w:szCs w:val="18"/>
              </w:rPr>
              <w:t xml:space="preserve">Gesundheitsdaten gesamt (Betroffene)</w:t>
            </w:r>
          </w:p>
        </w:tc>
        <w:tc>
          <w:tcPr>
            <w:shd w:fill="EDF2F7" w:val="clear"/>
          </w:tcPr>
          <w:p>
            <w:r>
              <w:rPr>
                <w:rFonts w:ascii="Arial" w:cs="Arial" w:eastAsia="Arial" w:hAnsi="Arial"/>
                <w:b/>
                <w:bCs/>
                <w:sz w:val="18"/>
                <w:szCs w:val="18"/>
              </w:rPr>
              <w:t xml:space="preserve">38 Mitarbeiter</w:t>
            </w:r>
          </w:p>
        </w:tc>
      </w:tr>
    </w:tbl>
    <w:p>
      <w:pPr>
        <w:spacing w:after="120" w:before="240"/>
      </w:pPr>
      <w:r>
        <w:rPr>
          <w:rFonts w:ascii="Arial" w:cs="Arial" w:eastAsia="Arial" w:hAnsi="Arial"/>
          <w:b/>
          <w:bCs/>
          <w:color w:val="2C3E50"/>
          <w:sz w:val="24"/>
          <w:szCs w:val="24"/>
        </w:rPr>
        <w:t xml:space="preserve">3. Notwendigkeit und Verhältnismäßigkeit</w:t>
      </w:r>
    </w:p>
    <w:p>
      <w:pPr>
        <w:spacing w:after="60" w:before="60"/>
        <w:jc w:val="both"/>
      </w:pPr>
      <w:r>
        <w:rPr>
          <w:rFonts w:ascii="Arial" w:cs="Arial" w:eastAsia="Arial" w:hAnsi="Arial"/>
          <w:sz w:val="22"/>
          <w:szCs w:val="22"/>
        </w:rPr>
        <w:t xml:space="preserve">Die Verarbeitung von BEM-Gesundheitsdaten ist nach § 167 Abs. 2 SGB IX und Art. 9 Abs. 2 lit. b) DSGVO i.V.m. § 26 Abs. 3 BDSG rechtlich erforderlich. Die Datenerhebung ist auf den für das BEM-Verfahren notwendigen Umfang beschränkt. Eine Einwilligung der betroffenen Mitarbeiter wurde eingeholt.</w:t>
      </w:r>
    </w:p>
    <w:p>
      <w:pPr>
        <w:spacing w:after="120" w:before="240"/>
      </w:pPr>
      <w:r>
        <w:rPr>
          <w:rFonts w:ascii="Arial" w:cs="Arial" w:eastAsia="Arial" w:hAnsi="Arial"/>
          <w:b/>
          <w:bCs/>
          <w:color w:val="2C3E50"/>
          <w:sz w:val="24"/>
          <w:szCs w:val="24"/>
        </w:rPr>
        <w:t xml:space="preserve">4. Risiken für Rechte und Freiheiten der Betroffenen</w:t>
      </w:r>
    </w:p>
    <w:p>
      <w:pPr>
        <w:spacing w:after="60" w:before="60"/>
        <w:jc w:val="both"/>
      </w:pPr>
      <w:r>
        <w:rPr>
          <w:rFonts w:ascii="Arial" w:cs="Arial" w:eastAsia="Arial" w:hAnsi="Arial"/>
          <w:sz w:val="22"/>
          <w:szCs w:val="22"/>
        </w:rPr>
        <w:t xml:space="preserve">Aufgrund des erfolgten Datenabflusses durch den Ransomware-Angriff sind folgende Risiken für die 38 betroffenen Mitarbeiter als hoch einzustufen:</w:t>
      </w:r>
    </w:p>
    <w:p>
      <w:pPr>
        <w:spacing w:after="60" w:before="60"/>
        <w:jc w:val="both"/>
      </w:pPr>
      <w:r>
        <w:rPr>
          <w:rFonts w:ascii="Arial" w:cs="Arial" w:eastAsia="Arial" w:hAnsi="Arial"/>
          <w:sz w:val="22"/>
          <w:szCs w:val="22"/>
        </w:rPr>
        <w:t xml:space="preserve">HOCH: Veröffentlichung der Gesundheitsdaten durch AkiraNext (Leaksite-Drohung aktiv). Folgen: Soziale Stigmatisierung, potenzielle Auswirkungen auf Versicherbarkeit und Kreditwürdigkeit, psychische Belastung, Diskriminierung bei künftigen Bewerbungen.</w:t>
      </w:r>
    </w:p>
    <w:p>
      <w:pPr>
        <w:spacing w:after="60" w:before="60"/>
        <w:jc w:val="both"/>
      </w:pPr>
      <w:r>
        <w:rPr>
          <w:rFonts w:ascii="Arial" w:cs="Arial" w:eastAsia="Arial" w:hAnsi="Arial"/>
          <w:sz w:val="22"/>
          <w:szCs w:val="22"/>
        </w:rPr>
        <w:t xml:space="preserve">HOCH: Missbrauch durch Dritte (Identitätsbetrug, Erpressung betroffener Mitarbeiter).</w:t>
      </w:r>
    </w:p>
    <w:p>
      <w:pPr>
        <w:spacing w:after="60" w:before="60"/>
        <w:jc w:val="both"/>
      </w:pPr>
      <w:r>
        <w:rPr>
          <w:rFonts w:ascii="Arial" w:cs="Arial" w:eastAsia="Arial" w:hAnsi="Arial"/>
          <w:sz w:val="22"/>
          <w:szCs w:val="22"/>
        </w:rPr>
        <w:t xml:space="preserve">MITTEL: Verlust des Vertrauens in den Arbeitgeber und in das BEM-Instrument (mittel- bis langfristig).</w:t>
      </w:r>
    </w:p>
    <w:p>
      <w:pPr>
        <w:spacing w:after="120" w:before="240"/>
      </w:pPr>
      <w:r>
        <w:rPr>
          <w:rFonts w:ascii="Arial" w:cs="Arial" w:eastAsia="Arial" w:hAnsi="Arial"/>
          <w:b/>
          <w:bCs/>
          <w:color w:val="2C3E50"/>
          <w:sz w:val="24"/>
          <w:szCs w:val="24"/>
        </w:rPr>
        <w:t xml:space="preserve">5. Geplante Abhilfemaßnahmen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B3A5C" w:val="clear"/>
          </w:tcPr>
          <w:p>
            <w:r>
              <w:rPr>
                <w:rFonts w:ascii="Arial" w:cs="Arial" w:eastAsia="Arial" w:hAnsi="Arial"/>
                <w:b/>
                <w:bCs/>
                <w:sz w:val="18"/>
                <w:szCs w:val="18"/>
              </w:rPr>
              <w:t xml:space="preserve">Maßnahme</w:t>
            </w:r>
          </w:p>
        </w:tc>
        <w:tc>
          <w:tcPr>
            <w:shd w:fill="1B3A5C" w:val="clear"/>
          </w:tcPr>
          <w:p>
            <w:r>
              <w:rPr>
                <w:rFonts w:ascii="Arial" w:cs="Arial" w:eastAsia="Arial" w:hAnsi="Arial"/>
                <w:b/>
                <w:bCs/>
                <w:sz w:val="18"/>
                <w:szCs w:val="18"/>
              </w:rPr>
              <w:t xml:space="preserve">Frist</w:t>
            </w:r>
          </w:p>
        </w:tc>
        <w:tc>
          <w:tcPr>
            <w:shd w:fill="1B3A5C" w:val="clear"/>
          </w:tcPr>
          <w:p>
            <w:r>
              <w:rPr>
                <w:rFonts w:ascii="Arial" w:cs="Arial" w:eastAsia="Arial" w:hAnsi="Arial"/>
                <w:b/>
                <w:bCs/>
                <w:sz w:val="18"/>
                <w:szCs w:val="18"/>
              </w:rPr>
              <w:t xml:space="preserve">Zuständig</w:t>
            </w:r>
          </w:p>
        </w:tc>
      </w:tr>
      <w:tr>
        <w:tc>
          <w:p>
            <w:r>
              <w:rPr>
                <w:rFonts w:ascii="Arial" w:cs="Arial" w:eastAsia="Arial" w:hAnsi="Arial"/>
                <w:sz w:val="18"/>
                <w:szCs w:val="18"/>
              </w:rPr>
              <w:t xml:space="preserve">Verschlüsselung HR-Daten at rest (AES-256)</w:t>
            </w:r>
          </w:p>
        </w:tc>
        <w:tc>
          <w:p>
            <w:r>
              <w:rPr>
                <w:rFonts w:ascii="Arial" w:cs="Arial" w:eastAsia="Arial" w:hAnsi="Arial"/>
                <w:sz w:val="18"/>
                <w:szCs w:val="18"/>
              </w:rPr>
              <w:t xml:space="preserve">30.06.2026</w:t>
            </w:r>
          </w:p>
        </w:tc>
        <w:tc>
          <w:p>
            <w:r>
              <w:rPr>
                <w:rFonts w:ascii="Arial" w:cs="Arial" w:eastAsia="Arial" w:hAnsi="Arial"/>
                <w:sz w:val="18"/>
                <w:szCs w:val="18"/>
              </w:rPr>
              <w:t xml:space="preserve">IT / InsoTec</w:t>
            </w:r>
          </w:p>
        </w:tc>
      </w:tr>
      <w:tr>
        <w:tc>
          <w:p>
            <w:r>
              <w:rPr>
                <w:rFonts w:ascii="Arial" w:cs="Arial" w:eastAsia="Arial" w:hAnsi="Arial"/>
                <w:sz w:val="18"/>
                <w:szCs w:val="18"/>
              </w:rPr>
              <w:t xml:space="preserve">MFA für alle HR-Systemzugänge</w:t>
            </w:r>
          </w:p>
        </w:tc>
        <w:tc>
          <w:p>
            <w:r>
              <w:rPr>
                <w:rFonts w:ascii="Arial" w:cs="Arial" w:eastAsia="Arial" w:hAnsi="Arial"/>
                <w:sz w:val="18"/>
                <w:szCs w:val="18"/>
              </w:rPr>
              <w:t xml:space="preserve">15.06.2026</w:t>
            </w:r>
          </w:p>
        </w:tc>
        <w:tc>
          <w:p>
            <w:r>
              <w:rPr>
                <w:rFonts w:ascii="Arial" w:cs="Arial" w:eastAsia="Arial" w:hAnsi="Arial"/>
                <w:sz w:val="18"/>
                <w:szCs w:val="18"/>
              </w:rPr>
              <w:t xml:space="preserve">IT / InsoTec</w:t>
            </w:r>
          </w:p>
        </w:tc>
      </w:tr>
      <w:tr>
        <w:tc>
          <w:p>
            <w:r>
              <w:rPr>
                <w:rFonts w:ascii="Arial" w:cs="Arial" w:eastAsia="Arial" w:hAnsi="Arial"/>
                <w:sz w:val="18"/>
                <w:szCs w:val="18"/>
              </w:rPr>
              <w:t xml:space="preserve">Zero-Trust-Netzwerksegmentierung HR</w:t>
            </w:r>
          </w:p>
        </w:tc>
        <w:tc>
          <w:p>
            <w:r>
              <w:rPr>
                <w:rFonts w:ascii="Arial" w:cs="Arial" w:eastAsia="Arial" w:hAnsi="Arial"/>
                <w:sz w:val="18"/>
                <w:szCs w:val="18"/>
              </w:rPr>
              <w:t xml:space="preserve">31.08.2026</w:t>
            </w:r>
          </w:p>
        </w:tc>
        <w:tc>
          <w:p>
            <w:r>
              <w:rPr>
                <w:rFonts w:ascii="Arial" w:cs="Arial" w:eastAsia="Arial" w:hAnsi="Arial"/>
                <w:sz w:val="18"/>
                <w:szCs w:val="18"/>
              </w:rPr>
              <w:t xml:space="preserve">IT / InsoTec</w:t>
            </w:r>
          </w:p>
        </w:tc>
      </w:tr>
      <w:tr>
        <w:tc>
          <w:p>
            <w:r>
              <w:rPr>
                <w:rFonts w:ascii="Arial" w:cs="Arial" w:eastAsia="Arial" w:hAnsi="Arial"/>
                <w:sz w:val="18"/>
                <w:szCs w:val="18"/>
              </w:rPr>
              <w:t xml:space="preserve">Neues Patch-Management-Konzept (SLA)</w:t>
            </w:r>
          </w:p>
        </w:tc>
        <w:tc>
          <w:p>
            <w:r>
              <w:rPr>
                <w:rFonts w:ascii="Arial" w:cs="Arial" w:eastAsia="Arial" w:hAnsi="Arial"/>
                <w:sz w:val="18"/>
                <w:szCs w:val="18"/>
              </w:rPr>
              <w:t xml:space="preserve">30.06.2026</w:t>
            </w:r>
          </w:p>
        </w:tc>
        <w:tc>
          <w:p>
            <w:r>
              <w:rPr>
                <w:rFonts w:ascii="Arial" w:cs="Arial" w:eastAsia="Arial" w:hAnsi="Arial"/>
                <w:sz w:val="18"/>
                <w:szCs w:val="18"/>
              </w:rPr>
              <w:t xml:space="preserve">ProcessSpark / IT</w:t>
            </w:r>
          </w:p>
        </w:tc>
      </w:tr>
      <w:tr>
        <w:tc>
          <w:p>
            <w:r>
              <w:rPr>
                <w:rFonts w:ascii="Arial" w:cs="Arial" w:eastAsia="Arial" w:hAnsi="Arial"/>
                <w:sz w:val="18"/>
                <w:szCs w:val="18"/>
              </w:rPr>
              <w:t xml:space="preserve">Data Loss Prevention (DLP) Implementierung</w:t>
            </w:r>
          </w:p>
        </w:tc>
        <w:tc>
          <w:p>
            <w:r>
              <w:rPr>
                <w:rFonts w:ascii="Arial" w:cs="Arial" w:eastAsia="Arial" w:hAnsi="Arial"/>
                <w:sz w:val="18"/>
                <w:szCs w:val="18"/>
              </w:rPr>
              <w:t xml:space="preserve">31.07.2026</w:t>
            </w:r>
          </w:p>
        </w:tc>
        <w:tc>
          <w:p>
            <w:r>
              <w:rPr>
                <w:rFonts w:ascii="Arial" w:cs="Arial" w:eastAsia="Arial" w:hAnsi="Arial"/>
                <w:sz w:val="18"/>
                <w:szCs w:val="18"/>
              </w:rPr>
              <w:t xml:space="preserve">IT</w:t>
            </w:r>
          </w:p>
        </w:tc>
      </w:tr>
    </w:tbl>
    <w:p>
      <w:pPr>
        <w:spacing w:after="120" w:before="240"/>
      </w:pPr>
      <w:r>
        <w:rPr>
          <w:rFonts w:ascii="Arial" w:cs="Arial" w:eastAsia="Arial" w:hAnsi="Arial"/>
          <w:b/>
          <w:bCs/>
          <w:color w:val="2C3E50"/>
          <w:sz w:val="24"/>
          <w:szCs w:val="24"/>
        </w:rPr>
        <w:t xml:space="preserve">6. Konsultation der Aufsichtsbehörde (Art. 36 DSGVO)</w:t>
      </w:r>
    </w:p>
    <w:p>
      <w:pPr>
        <w:spacing w:after="60" w:before="60"/>
        <w:jc w:val="both"/>
      </w:pPr>
      <w:r>
        <w:rPr>
          <w:rFonts w:ascii="Arial" w:cs="Arial" w:eastAsia="Arial" w:hAnsi="Arial"/>
          <w:sz w:val="22"/>
          <w:szCs w:val="22"/>
        </w:rPr>
        <w:t xml:space="preserve">Aufgrund des hohen Restrisikos (Gesundheitsdaten exfiltriert, Veröffentlichungsdrohung aktiv) wird eine vorherige Konsultation des LfDI Rheinland-Pfalz gemäß Art. 36 DSGVO durchgeführt. Diese DSFA wird dem LfDI als Ergänzung zur Meldung vom 08.05.2026 übermittelt.</w:t>
      </w:r>
    </w:p>
    <w:p>
      <w:pPr>
        <w:spacing w:after="120" w:before="240"/>
      </w:pPr>
      <w:r>
        <w:rPr>
          <w:rFonts w:ascii="Arial" w:cs="Arial" w:eastAsia="Arial" w:hAnsi="Arial"/>
          <w:b/>
          <w:bCs/>
          <w:color w:val="2C3E50"/>
          <w:sz w:val="24"/>
          <w:szCs w:val="24"/>
        </w:rPr>
        <w:t xml:space="preserve">7. Ergebnis</w:t>
      </w:r>
    </w:p>
    <w:p>
      <w:pPr>
        <w:spacing w:after="60" w:before="60"/>
        <w:jc w:val="both"/>
      </w:pPr>
      <w:r>
        <w:rPr>
          <w:rFonts w:ascii="Arial" w:cs="Arial" w:eastAsia="Arial" w:hAnsi="Arial"/>
          <w:sz w:val="22"/>
          <w:szCs w:val="22"/>
        </w:rPr>
        <w:t xml:space="preserve">Die DSFA ergibt, dass die Verarbeitung von BEM-Gesundheitsdaten ohne die beschriebenen Abhilfemaßnahmen ein HOHES Restrisiko für die Rechte und Freiheiten der betroffenen Mitarbeiter darstellt. Die geplanten Maßnahmen sollen das Restrisiko auf ein akzeptables Niveau senken. Eine Überprüfung der DSFA erfolgt nach Abschluss der Maßnahmen (voraussichtlich Herbst 2026).</w:t>
      </w:r>
    </w:p>
    <w:p>
      <w:pPr>
        <w:spacing w:after="40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p>
            <w:pPr>
              <w:spacing w:after="60" w:before="100"/>
            </w:pPr>
            <w:r>
              <w:rPr>
                <w:rFonts w:ascii="Arial" w:cs="Arial" w:eastAsia="Arial" w:hAnsi="Arial"/>
                <w:b/>
                <w:bCs/>
                <w:sz w:val="22"/>
                <w:szCs w:val="22"/>
              </w:rPr>
              <w:t xml:space="preserve">Theresia Wallbruck</w:t>
            </w:r>
          </w:p>
          <w:p>
            <w:pPr>
              <w:spacing w:after="60" w:before="60"/>
              <w:jc w:val="both"/>
            </w:pPr>
            <w:r>
              <w:rPr>
                <w:rFonts w:ascii="Arial" w:cs="Arial" w:eastAsia="Arial" w:hAnsi="Arial"/>
                <w:sz w:val="22"/>
                <w:szCs w:val="22"/>
              </w:rPr>
              <w:t xml:space="preserve">Geschäftsführerin, Verantwortlicher i.S.d. DSGVO</w:t>
            </w:r>
          </w:p>
          <w:p>
            <w:pPr>
              <w:spacing w:after="60" w:before="60"/>
              <w:jc w:val="both"/>
            </w:pPr>
            <w:r>
              <w:rPr>
                <w:rFonts w:ascii="Arial" w:cs="Arial" w:eastAsia="Arial" w:hAnsi="Arial"/>
                <w:sz w:val="22"/>
                <w:szCs w:val="22"/>
              </w:rPr>
              <w:t xml:space="preserve">Frischetrans Mittelrhein GmbH</w:t>
            </w:r>
          </w:p>
          <w:p>
            <w:pPr>
              <w:spacing w:after="60" w:before="60"/>
              <w:jc w:val="both"/>
            </w:pPr>
            <w:r>
              <w:rPr>
                <w:rFonts w:ascii="Arial" w:cs="Arial" w:eastAsia="Arial" w:hAnsi="Arial"/>
                <w:sz w:val="22"/>
                <w:szCs w:val="22"/>
              </w:rPr>
              <w:t xml:space="preserve">Mainz, 14.05.2026</w:t>
            </w:r>
          </w:p>
        </w:tc>
        <w:tc>
          <w:p>
            <w:pPr>
              <w:spacing w:after="60" w:before="100"/>
            </w:pPr>
            <w:r>
              <w:rPr>
                <w:rFonts w:ascii="Arial" w:cs="Arial" w:eastAsia="Arial" w:hAnsi="Arial"/>
                <w:b/>
                <w:bCs/>
                <w:sz w:val="22"/>
                <w:szCs w:val="22"/>
              </w:rPr>
              <w:t xml:space="preserve">Markus Feilke</w:t>
            </w:r>
          </w:p>
          <w:p>
            <w:pPr>
              <w:spacing w:after="60" w:before="60"/>
              <w:jc w:val="both"/>
            </w:pPr>
            <w:r>
              <w:rPr>
                <w:rFonts w:ascii="Arial" w:cs="Arial" w:eastAsia="Arial" w:hAnsi="Arial"/>
                <w:sz w:val="22"/>
                <w:szCs w:val="22"/>
              </w:rPr>
              <w:t xml:space="preserve">Externer Datenschutzbeauftragter</w:t>
            </w:r>
          </w:p>
          <w:p>
            <w:pPr>
              <w:spacing w:after="60" w:before="60"/>
              <w:jc w:val="both"/>
            </w:pPr>
            <w:r>
              <w:rPr>
                <w:rFonts w:ascii="Arial" w:cs="Arial" w:eastAsia="Arial" w:hAnsi="Arial"/>
                <w:sz w:val="22"/>
                <w:szCs w:val="22"/>
              </w:rPr>
              <w:t xml:space="preserve">Datenschutzkanzlei Rhein-Main</w:t>
            </w:r>
          </w:p>
          <w:p>
            <w:pPr>
              <w:spacing w:after="60" w:before="60"/>
              <w:jc w:val="both"/>
            </w:pPr>
            <w:r>
              <w:rPr>
                <w:rFonts w:ascii="Arial" w:cs="Arial" w:eastAsia="Arial" w:hAnsi="Arial"/>
                <w:sz w:val="22"/>
                <w:szCs w:val="22"/>
              </w:rPr>
              <w:t xml:space="preserve">Mainz, 14.05.2026</w:t>
            </w:r>
          </w:p>
        </w:tc>
        <w:tc>
          <w:p>
            <w:pPr>
              <w:spacing w:after="60" w:before="100"/>
            </w:pPr>
            <w:r>
              <w:rPr>
                <w:rFonts w:ascii="Arial" w:cs="Arial" w:eastAsia="Arial" w:hAnsi="Arial"/>
                <w:b/>
                <w:bCs/>
                <w:sz w:val="22"/>
                <w:szCs w:val="22"/>
              </w:rPr>
              <w:t xml:space="preserve">RA Lukas Drosten</w:t>
            </w:r>
          </w:p>
          <w:p>
            <w:pPr>
              <w:spacing w:after="60" w:before="60"/>
              <w:jc w:val="both"/>
            </w:pPr>
            <w:r>
              <w:rPr>
                <w:rFonts w:ascii="Arial" w:cs="Arial" w:eastAsia="Arial" w:hAnsi="Arial"/>
                <w:sz w:val="22"/>
                <w:szCs w:val="22"/>
              </w:rPr>
              <w:t xml:space="preserve">Fachanwalt für IT-Recht</w:t>
            </w:r>
          </w:p>
          <w:p>
            <w:pPr>
              <w:spacing w:after="60" w:before="60"/>
              <w:jc w:val="both"/>
            </w:pPr>
            <w:r>
              <w:rPr>
                <w:rFonts w:ascii="Arial" w:cs="Arial" w:eastAsia="Arial" w:hAnsi="Arial"/>
                <w:sz w:val="22"/>
                <w:szCs w:val="22"/>
              </w:rPr>
              <w:t xml:space="preserve">Kanzlei Drosten &amp; Pekonkur</w:t>
            </w:r>
          </w:p>
          <w:p>
            <w:pPr>
              <w:spacing w:after="60" w:before="60"/>
              <w:jc w:val="both"/>
            </w:pPr>
            <w:r>
              <w:rPr>
                <w:rFonts w:ascii="Arial" w:cs="Arial" w:eastAsia="Arial" w:hAnsi="Arial"/>
                <w:sz w:val="22"/>
                <w:szCs w:val="22"/>
              </w:rPr>
              <w:t xml:space="preserve">Mainz, 14.05.2026</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Datenschutz-Folgenabschätzung (DSFA) – BEM-Gesundheitsdaten – Frischetrans Mittelrhein GmbH</dc:title>
  <dc:creator>Un-named</dc:creator>
  <cp:lastModifiedBy>Un-named</cp:lastModifiedBy>
  <cp:revision>1</cp:revision>
  <dcterms:created xsi:type="dcterms:W3CDTF">2026-05-30T15:19:51.601Z</dcterms:created>
  <dcterms:modified xsi:type="dcterms:W3CDTF">2026-05-30T15:19:51.601Z</dcterms:modified>
</cp:coreProperties>
</file>

<file path=docProps/custom.xml><?xml version="1.0" encoding="utf-8"?>
<Properties xmlns="http://schemas.openxmlformats.org/officeDocument/2006/custom-properties" xmlns:vt="http://schemas.openxmlformats.org/officeDocument/2006/docPropsVTypes"/>
</file>