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  <w:jc w:val="left"/>
      </w:pPr>
      <w:r>
        <w:rPr>
          <w:rFonts w:ascii="Arial" w:cs="Arial" w:eastAsia="Arial" w:hAnsi="Arial"/>
          <w:b/>
          <w:bCs/>
          <w:color w:val="1B3A5C"/>
          <w:sz w:val="28"/>
          <w:szCs w:val="28"/>
        </w:rPr>
        <w:t xml:space="preserve">KANZLEI DROSTEN &amp; PEKONKUR</w:t>
      </w:r>
    </w:p>
    <w:p>
      <w:pPr>
        <w:spacing w:after="20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Rechtsanwälte und Fachanwälte · Schillerstraße 14 · 55116 Mainz</w:t>
      </w:r>
    </w:p>
    <w:p>
      <w:pPr>
        <w:spacing w:after="200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Tel. +49 6131 2240-0 · Fax +49 6131 2240-99 · l.drosten@drosten-pekonkur.de</w:t>
      </w:r>
    </w:p>
    <w:p>
      <w:pPr>
        <w:spacing w:after="160"/>
      </w:pPr>
      <w:r>
        <w:rPr>
          <w:rFonts w:ascii="Arial" w:cs="Arial" w:eastAsia="Arial" w:hAnsi="Arial"/>
          <w:b/>
          <w:bCs/>
          <w:i/>
          <w:iCs/>
          <w:sz w:val="20"/>
          <w:szCs w:val="20"/>
        </w:rPr>
        <w:t xml:space="preserve">Per Einschreiben mit Rückschein</w:t>
      </w:r>
    </w:p>
    <w:p>
      <w:pPr>
        <w:spacing w:after="60" w:before="60"/>
        <w:jc w:val="both"/>
      </w:pPr>
      <w:r>
        <w:rPr>
          <w:rFonts w:ascii="Arial" w:cs="Arial" w:eastAsia="Arial" w:hAnsi="Arial"/>
          <w:sz w:val="22"/>
          <w:szCs w:val="22"/>
        </w:rPr>
        <w:t xml:space="preserve">ProcessSpark Cloud AG</w:t>
      </w:r>
    </w:p>
    <w:p>
      <w:pPr>
        <w:spacing w:after="60" w:before="60"/>
        <w:jc w:val="both"/>
      </w:pPr>
      <w:r>
        <w:rPr>
          <w:rFonts w:ascii="Arial" w:cs="Arial" w:eastAsia="Arial" w:hAnsi="Arial"/>
          <w:sz w:val="22"/>
          <w:szCs w:val="22"/>
        </w:rPr>
        <w:t xml:space="preserve">— Rechtsabteilung / Vorstand —</w:t>
      </w:r>
    </w:p>
    <w:p>
      <w:pPr>
        <w:spacing w:after="60" w:before="60"/>
        <w:jc w:val="both"/>
      </w:pPr>
      <w:r>
        <w:rPr>
          <w:rFonts w:ascii="Arial" w:cs="Arial" w:eastAsia="Arial" w:hAnsi="Arial"/>
          <w:sz w:val="22"/>
          <w:szCs w:val="22"/>
        </w:rPr>
        <w:t xml:space="preserve">Leopoldstraße 88</w:t>
      </w:r>
    </w:p>
    <w:p>
      <w:pPr>
        <w:spacing w:after="60" w:before="60"/>
        <w:jc w:val="both"/>
      </w:pPr>
      <w:r>
        <w:rPr>
          <w:rFonts w:ascii="Arial" w:cs="Arial" w:eastAsia="Arial" w:hAnsi="Arial"/>
          <w:sz w:val="22"/>
          <w:szCs w:val="22"/>
        </w:rPr>
        <w:t xml:space="preserve">80802 München</w:t>
      </w:r>
    </w:p>
    <w:p>
      <w:pPr>
        <w:spacing w:after="160"/>
      </w:pPr>
    </w:p>
    <w:p>
      <w:pPr>
        <w:spacing w:after="200"/>
        <w:jc w:val="right"/>
      </w:pPr>
      <w:r>
        <w:rPr>
          <w:rFonts w:ascii="Arial" w:cs="Arial" w:eastAsia="Arial" w:hAnsi="Arial"/>
          <w:sz w:val="22"/>
          <w:szCs w:val="22"/>
        </w:rPr>
        <w:t xml:space="preserve">Mainz, den 12.05.2026</w:t>
      </w:r>
    </w:p>
    <w:p>
      <w:pPr>
        <w:spacing w:after="80" w:before="12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Schadensersatz und Vertragsstrafe — IT-Betriebsvertrag 15.03.2021 / Nachtrag 3 — Ransomware-Schaden durch Patchpflichtverletzung CVE-2026-0712</w:t>
      </w:r>
    </w:p>
    <w:p>
      <w:pPr>
        <w:spacing w:after="240"/>
      </w:pPr>
      <w:r>
        <w:rPr>
          <w:rFonts w:ascii="Arial" w:cs="Arial" w:eastAsia="Arial" w:hAnsi="Arial"/>
          <w:i/>
          <w:iCs/>
          <w:sz w:val="20"/>
          <w:szCs w:val="20"/>
        </w:rPr>
        <w:t xml:space="preserve">Unsere Mandantin: Frischetrans Mittelrhein GmbH, Binger Straße 142, 55131 Mainz</w:t>
      </w:r>
    </w:p>
    <w:p>
      <w:pPr>
        <w:spacing w:after="60" w:before="60"/>
        <w:jc w:val="both"/>
      </w:pPr>
      <w:r>
        <w:rPr>
          <w:rFonts w:ascii="Arial" w:cs="Arial" w:eastAsia="Arial" w:hAnsi="Arial"/>
          <w:sz w:val="22"/>
          <w:szCs w:val="22"/>
        </w:rPr>
        <w:t xml:space="preserve">Sehr geehrte Damen und Herren,</w:t>
      </w:r>
    </w:p>
    <w:p>
      <w:pPr>
        <w:spacing w:after="80"/>
      </w:pPr>
    </w:p>
    <w:p>
      <w:pPr>
        <w:spacing w:after="60" w:before="60"/>
        <w:jc w:val="both"/>
      </w:pPr>
      <w:r>
        <w:rPr>
          <w:rFonts w:ascii="Arial" w:cs="Arial" w:eastAsia="Arial" w:hAnsi="Arial"/>
          <w:sz w:val="22"/>
          <w:szCs w:val="22"/>
        </w:rPr>
        <w:t xml:space="preserve">wir sind anwaltliche Bevollmächtigte der Frischetrans Mittelrhein GmbH. Vollmacht liegt bei. Wir wenden uns an Sie wegen schwerwiegender Pflichtverletzungen aus dem zwischen den Parteien bestehenden IT-Betriebsvertrag vom 15.03.2021 (Nachtrag 3 vom 01.07.2024), die zu einem erheblichen Schaden für unsere Mandantin geführt haben.</w:t>
      </w:r>
    </w:p>
    <w:p>
      <w:pPr>
        <w:pStyle w:val="Heading2"/>
        <w:pBdr>
          <w:bottom w:color="1B3A5C" w:sz="6"/>
        </w:pBdr>
        <w:spacing w:after="120" w:before="240"/>
      </w:pPr>
      <w:r>
        <w:rPr>
          <w:rFonts w:ascii="Arial" w:cs="Arial" w:eastAsia="Arial" w:hAnsi="Arial"/>
          <w:b/>
          <w:bCs/>
          <w:color w:val="1B3A5C"/>
          <w:sz w:val="24"/>
          <w:szCs w:val="24"/>
        </w:rPr>
        <w:t xml:space="preserve">I. Sachverhalt</w:t>
      </w:r>
    </w:p>
    <w:p>
      <w:pPr>
        <w:spacing w:after="60" w:before="60"/>
        <w:jc w:val="both"/>
      </w:pPr>
      <w:r>
        <w:rPr>
          <w:rFonts w:ascii="Arial" w:cs="Arial" w:eastAsia="Arial" w:hAnsi="Arial"/>
          <w:sz w:val="22"/>
          <w:szCs w:val="22"/>
        </w:rPr>
        <w:t xml:space="preserve">Unsere Mandantin wurde in der Nacht vom 05. auf den 06.05.2026 Opfer eines schwerwiegenden Ransomware-Angriffs der kriminellen Gruppe „AkiraNext". Das ERP-System (SAP S/4HANA), Fileserver und Telematik-Schnittstellen wurden vollständig verschlüsselt und ca. 2,1 TB Daten exfiltriert.</w:t>
      </w:r>
    </w:p>
    <w:p>
      <w:pPr>
        <w:spacing w:after="60" w:before="60"/>
        <w:jc w:val="both"/>
      </w:pPr>
      <w:r>
        <w:rPr>
          <w:rFonts w:ascii="Arial" w:cs="Arial" w:eastAsia="Arial" w:hAnsi="Arial"/>
          <w:sz w:val="22"/>
          <w:szCs w:val="22"/>
        </w:rPr>
        <w:t xml:space="preserve">Die forensische Untersuchung (CyberForensik RheinMain GmbH, Bericht-ID CRM-2026-FT-01) hat ergeben, dass der Angriffsvektor die Sicherheitslücke CVE-2026-0712 (SAP NetWeaver AS ABAP, CVSS 9.8 Critical) war. SAP SE stellte den Patch am 18.02.2026 bereit.</w:t>
      </w:r>
    </w:p>
    <w:p>
      <w:pPr>
        <w:spacing w:after="60" w:before="60"/>
        <w:jc w:val="both"/>
      </w:pPr>
      <w:r>
        <w:rPr>
          <w:rFonts w:ascii="Arial" w:cs="Arial" w:eastAsia="Arial" w:hAnsi="Arial"/>
          <w:sz w:val="22"/>
          <w:szCs w:val="22"/>
        </w:rPr>
        <w:t xml:space="preserve">Ihre Gesellschaft spielte diesen Patch erst in der Nacht vom 28. auf den 29.04.2026 ein — 69 Tage nach Bereitstellung und 55 Tage nach Ablauf der vertraglichen 14-Tage-Frist für Critical-Patches (§ 12 Abs. 2 Nachtrag 3).</w:t>
      </w:r>
    </w:p>
    <w:p>
      <w:pPr>
        <w:pStyle w:val="Heading2"/>
        <w:pBdr>
          <w:bottom w:color="1B3A5C" w:sz="6"/>
        </w:pBdr>
        <w:spacing w:after="120" w:before="240"/>
      </w:pPr>
      <w:r>
        <w:rPr>
          <w:rFonts w:ascii="Arial" w:cs="Arial" w:eastAsia="Arial" w:hAnsi="Arial"/>
          <w:b/>
          <w:bCs/>
          <w:color w:val="1B3A5C"/>
          <w:sz w:val="24"/>
          <w:szCs w:val="24"/>
        </w:rPr>
        <w:t xml:space="preserve">II. Pflichtverletzungen</w:t>
      </w:r>
    </w:p>
    <w:p>
      <w:pPr>
        <w:spacing w:after="60" w:before="10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1. Verletzung der Patchpflicht (§ 12 Abs. 2 Nachtrag 3)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40%"/>
            <w:shd w:fill="EDF2F7" w:val="clear"/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Patch-Veröffentlichung SAP SE:</w:t>
            </w:r>
          </w:p>
        </w:tc>
        <w:tc>
          <w:tcPr>
            <w:tcW w:type="pct" w:w="60%"/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18.02.2026</w:t>
            </w:r>
          </w:p>
        </w:tc>
      </w:tr>
      <w:tr>
        <w:tc>
          <w:tcPr>
            <w:tcW w:type="pct" w:w="40%"/>
            <w:shd w:fill="EDF2F7" w:val="clear"/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CVSS-Score:</w:t>
            </w:r>
          </w:p>
        </w:tc>
        <w:tc>
          <w:tcPr>
            <w:tcW w:type="pct" w:w="60%"/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9.8 (Critical)</w:t>
            </w:r>
          </w:p>
        </w:tc>
      </w:tr>
      <w:tr>
        <w:tc>
          <w:tcPr>
            <w:tcW w:type="pct" w:w="40%"/>
            <w:shd w:fill="EDF2F7" w:val="clear"/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Vertragliche Frist (14 Tage):</w:t>
            </w:r>
          </w:p>
        </w:tc>
        <w:tc>
          <w:tcPr>
            <w:tcW w:type="pct" w:w="60%"/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04.03.2026</w:t>
            </w:r>
          </w:p>
        </w:tc>
      </w:tr>
      <w:tr>
        <w:tc>
          <w:tcPr>
            <w:tcW w:type="pct" w:w="40%"/>
            <w:shd w:fill="EDF2F7" w:val="clear"/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Tatsächliche Einspielung:</w:t>
            </w:r>
          </w:p>
        </w:tc>
        <w:tc>
          <w:tcPr>
            <w:tcW w:type="pct" w:w="60%"/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28./29.04.2026</w:t>
            </w:r>
          </w:p>
        </w:tc>
      </w:tr>
      <w:tr>
        <w:tc>
          <w:tcPr>
            <w:tcW w:type="pct" w:w="40%"/>
            <w:shd w:fill="EDF2F7" w:val="clear"/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Verzug:</w:t>
            </w:r>
          </w:p>
        </w:tc>
        <w:tc>
          <w:tcPr>
            <w:tcW w:type="pct" w:w="60%"/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55 Tage</w:t>
            </w:r>
          </w:p>
        </w:tc>
      </w:tr>
      <w:tr>
        <w:tc>
          <w:tcPr>
            <w:tcW w:type="pct" w:w="40%"/>
            <w:shd w:fill="EDF2F7" w:val="clear"/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Ausnahmegenehmigung beantragt:</w:t>
            </w:r>
          </w:p>
        </w:tc>
        <w:tc>
          <w:tcPr>
            <w:tcW w:type="pct" w:w="60%"/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Nein</w:t>
            </w:r>
          </w:p>
        </w:tc>
      </w:tr>
    </w:tbl>
    <w:p>
      <w:pPr>
        <w:spacing w:after="80"/>
      </w:pPr>
    </w:p>
    <w:p>
      <w:pPr>
        <w:spacing w:after="60" w:before="10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2. Verletzung der Informationspflicht (§ 241 Abs. 2 BGB)</w:t>
      </w:r>
    </w:p>
    <w:p>
      <w:pPr>
        <w:spacing w:after="60" w:before="60"/>
        <w:jc w:val="both"/>
      </w:pPr>
      <w:r>
        <w:rPr>
          <w:rFonts w:ascii="Arial" w:cs="Arial" w:eastAsia="Arial" w:hAnsi="Arial"/>
          <w:sz w:val="22"/>
          <w:szCs w:val="22"/>
        </w:rPr>
        <w:t xml:space="preserve">Ihre Gesellschaft hat unsere Mandantin zu keinem Zeitpunkt über die Schwachstelle, den Patch-Rückstand oder mögliche Schutzmaßnahmen informiert.</w:t>
      </w:r>
    </w:p>
    <w:p>
      <w:pPr>
        <w:pStyle w:val="Heading2"/>
        <w:pBdr>
          <w:bottom w:color="1B3A5C" w:sz="6"/>
        </w:pBdr>
        <w:spacing w:after="120" w:before="240"/>
      </w:pPr>
      <w:r>
        <w:rPr>
          <w:rFonts w:ascii="Arial" w:cs="Arial" w:eastAsia="Arial" w:hAnsi="Arial"/>
          <w:b/>
          <w:bCs/>
          <w:color w:val="1B3A5C"/>
          <w:sz w:val="24"/>
          <w:szCs w:val="24"/>
        </w:rPr>
        <w:t xml:space="preserve">III. Schaden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IT-Wiederherstellungskosten</w:t>
            </w:r>
          </w:p>
        </w:tc>
        <w:tc>
          <w:tcPr>
            <w:tcW w:type="pct" w:w="35%"/>
          </w:tcPr>
          <w:p>
            <w:pPr>
              <w:jc w:val="righ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198.500,00 EUR</w:t>
            </w:r>
          </w:p>
        </w:tc>
      </w:tr>
      <w:tr>
        <w:tc>
          <w:tcPr>
            <w:tcW w:type="pct" w:w="65%"/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Betriebsausfall Logistik (7 Tage)</w:t>
            </w:r>
          </w:p>
        </w:tc>
        <w:tc>
          <w:tcPr>
            <w:tcW w:type="pct" w:w="35%"/>
          </w:tcPr>
          <w:p>
            <w:pPr>
              <w:jc w:val="righ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387.200,00 EUR</w:t>
            </w:r>
          </w:p>
        </w:tc>
      </w:tr>
      <w:tr>
        <w:tc>
          <w:tcPr>
            <w:tcW w:type="pct" w:w="65%"/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Forensikkosten (CyberForensik RheinMain GmbH)</w:t>
            </w:r>
          </w:p>
        </w:tc>
        <w:tc>
          <w:tcPr>
            <w:tcW w:type="pct" w:w="35%"/>
          </w:tcPr>
          <w:p>
            <w:pPr>
              <w:jc w:val="righ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52.800,00 EUR</w:t>
            </w:r>
          </w:p>
        </w:tc>
      </w:tr>
      <w:tr>
        <w:tc>
          <w:tcPr>
            <w:tcW w:type="pct" w:w="65%"/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Anwaltskosten (bisherig)</w:t>
            </w:r>
          </w:p>
        </w:tc>
        <w:tc>
          <w:tcPr>
            <w:tcW w:type="pct" w:w="35%"/>
          </w:tcPr>
          <w:p>
            <w:pPr>
              <w:jc w:val="righ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24.800,00 EUR</w:t>
            </w:r>
          </w:p>
        </w:tc>
      </w:tr>
      <w:tr>
        <w:tc>
          <w:tcPr>
            <w:tcW w:type="pct" w:w="65%"/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DSGVO-Folgekosten</w:t>
            </w:r>
          </w:p>
        </w:tc>
        <w:tc>
          <w:tcPr>
            <w:tcW w:type="pct" w:w="35%"/>
          </w:tcPr>
          <w:p>
            <w:pPr>
              <w:jc w:val="righ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18.000,00 EUR</w:t>
            </w:r>
          </w:p>
        </w:tc>
      </w:tr>
      <w:tr>
        <w:tc>
          <w:tcPr>
            <w:tcW w:type="pct" w:w="65%"/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Gesamtschaden (vorläufig)</w:t>
            </w:r>
          </w:p>
        </w:tc>
        <w:tc>
          <w:tcPr>
            <w:tcW w:type="pct" w:w="35%"/>
          </w:tcPr>
          <w:p>
            <w:pPr>
              <w:jc w:val="righ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681.300,00 EUR</w:t>
            </w:r>
          </w:p>
        </w:tc>
      </w:tr>
    </w:tbl>
    <w:p>
      <w:pPr>
        <w:pStyle w:val="Heading2"/>
        <w:pBdr>
          <w:bottom w:color="1B3A5C" w:sz="6"/>
        </w:pBdr>
        <w:spacing w:after="120" w:before="240"/>
      </w:pPr>
      <w:r>
        <w:rPr>
          <w:rFonts w:ascii="Arial" w:cs="Arial" w:eastAsia="Arial" w:hAnsi="Arial"/>
          <w:b/>
          <w:bCs/>
          <w:color w:val="1B3A5C"/>
          <w:sz w:val="24"/>
          <w:szCs w:val="24"/>
        </w:rPr>
        <w:t xml:space="preserve">IV. Forderungen</w:t>
      </w:r>
    </w:p>
    <w:p>
      <w:pPr>
        <w:spacing w:after="60" w:before="60"/>
        <w:jc w:val="both"/>
      </w:pPr>
      <w:r>
        <w:rPr>
          <w:rFonts w:ascii="Arial" w:cs="Arial" w:eastAsia="Arial" w:hAnsi="Arial"/>
          <w:sz w:val="22"/>
          <w:szCs w:val="22"/>
        </w:rPr>
        <w:t xml:space="preserve">Wir machen folgende Ansprüche geltend: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Vertragsstrafe (§ 14 Abs. 3 Vertrag, 7 × 0,5 % × 14.800 EUR)</w:t>
            </w:r>
          </w:p>
        </w:tc>
        <w:tc>
          <w:tcPr>
            <w:tcW w:type="pct" w:w="35%"/>
          </w:tcPr>
          <w:p>
            <w:pPr>
              <w:jc w:val="righ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518,00 EUR</w:t>
            </w:r>
          </w:p>
        </w:tc>
      </w:tr>
      <w:tr>
        <w:tc>
          <w:tcPr>
            <w:tcW w:type="pct" w:w="65%"/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Schadensersatz (§§ 280, 241 Abs. 2 BGB, vorläufig)</w:t>
            </w:r>
          </w:p>
        </w:tc>
        <w:tc>
          <w:tcPr>
            <w:tcW w:type="pct" w:w="35%"/>
          </w:tcPr>
          <w:p>
            <w:pPr>
              <w:jc w:val="righ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681.300,00 EUR</w:t>
            </w:r>
          </w:p>
        </w:tc>
      </w:tr>
      <w:tr>
        <w:tc>
          <w:tcPr>
            <w:tcW w:type="pct" w:w="65%"/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Gesamtforderung</w:t>
            </w:r>
          </w:p>
        </w:tc>
        <w:tc>
          <w:tcPr>
            <w:tcW w:type="pct" w:w="35%"/>
          </w:tcPr>
          <w:p>
            <w:pPr>
              <w:jc w:val="righ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681.818,00 EUR</w:t>
            </w:r>
          </w:p>
        </w:tc>
      </w:tr>
    </w:tbl>
    <w:p>
      <w:pPr>
        <w:pStyle w:val="Heading2"/>
        <w:pBdr>
          <w:bottom w:color="1B3A5C" w:sz="6"/>
        </w:pBdr>
        <w:spacing w:after="120" w:before="240"/>
      </w:pPr>
      <w:r>
        <w:rPr>
          <w:rFonts w:ascii="Arial" w:cs="Arial" w:eastAsia="Arial" w:hAnsi="Arial"/>
          <w:b/>
          <w:bCs/>
          <w:color w:val="1B3A5C"/>
          <w:sz w:val="24"/>
          <w:szCs w:val="24"/>
        </w:rPr>
        <w:t xml:space="preserve">V. Frist</w:t>
      </w:r>
    </w:p>
    <w:p>
      <w:pPr>
        <w:spacing w:after="60" w:before="60"/>
        <w:jc w:val="both"/>
      </w:pPr>
      <w:r>
        <w:rPr>
          <w:rFonts w:ascii="Arial" w:cs="Arial" w:eastAsia="Arial" w:hAnsi="Arial"/>
          <w:sz w:val="22"/>
          <w:szCs w:val="22"/>
        </w:rPr>
        <w:t xml:space="preserve">Wir fordern Sie auf, den Gesamtbetrag von EUR 681.818,00 bis spätestens</w:t>
      </w:r>
    </w:p>
    <w:p>
      <w:pPr>
        <w:spacing w:after="120" w:before="120"/>
        <w:jc w:val="center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Montag, den 26.05.2026</w:t>
      </w:r>
    </w:p>
    <w:p>
      <w:pPr>
        <w:spacing w:after="60" w:before="60"/>
        <w:jc w:val="both"/>
      </w:pPr>
      <w:r>
        <w:rPr>
          <w:rFonts w:ascii="Arial" w:cs="Arial" w:eastAsia="Arial" w:hAnsi="Arial"/>
          <w:sz w:val="22"/>
          <w:szCs w:val="22"/>
        </w:rPr>
        <w:t xml:space="preserve">auf das Konto unserer Mandantin zu überweisen sowie die angeforderten Patch-Logs (7-Tage-Frist bis 20.05.2026) vorzulegen. Bei fruchtlosem Fristablauf wird Klage am Landgericht Mainz erhoben (geplantes AZ: 3 O 88/26). Die außerordentliche Kündigung des Vertrages bleibt vorbehalten (§ 626 BGB).</w:t>
      </w:r>
    </w:p>
    <w:p>
      <w:pPr>
        <w:spacing w:after="400"/>
      </w:pPr>
    </w:p>
    <w:p>
      <w:pPr>
        <w:spacing w:after="60" w:before="60"/>
        <w:jc w:val="both"/>
      </w:pPr>
      <w:r>
        <w:rPr>
          <w:rFonts w:ascii="Arial" w:cs="Arial" w:eastAsia="Arial" w:hAnsi="Arial"/>
          <w:sz w:val="22"/>
          <w:szCs w:val="22"/>
        </w:rPr>
        <w:t xml:space="preserve">Mit freundlichen Grüßen</w:t>
      </w:r>
    </w:p>
    <w:p>
      <w:pPr>
        <w:spacing w:after="200"/>
      </w:pPr>
    </w:p>
    <w:p>
      <w:pPr>
        <w:spacing w:after="60" w:before="10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RA Lukas Drosten</w:t>
      </w:r>
    </w:p>
    <w:p>
      <w:pPr>
        <w:spacing w:after="60" w:before="60"/>
        <w:jc w:val="both"/>
      </w:pPr>
      <w:r>
        <w:rPr>
          <w:rFonts w:ascii="Arial" w:cs="Arial" w:eastAsia="Arial" w:hAnsi="Arial"/>
          <w:sz w:val="22"/>
          <w:szCs w:val="22"/>
        </w:rPr>
        <w:t xml:space="preserve">Fachanwalt für IT-Recht</w:t>
      </w:r>
    </w:p>
    <w:p>
      <w:pPr>
        <w:spacing w:after="60" w:before="60"/>
        <w:jc w:val="both"/>
      </w:pPr>
      <w:r>
        <w:rPr>
          <w:rFonts w:ascii="Arial" w:cs="Arial" w:eastAsia="Arial" w:hAnsi="Arial"/>
          <w:sz w:val="22"/>
          <w:szCs w:val="22"/>
        </w:rPr>
        <w:t xml:space="preserve">Kanzlei Drosten &amp; Pekonkur, Mainz</w:t>
      </w:r>
    </w:p>
    <w:p>
      <w:pPr>
        <w:spacing w:after="60" w:before="60"/>
        <w:jc w:val="both"/>
      </w:pPr>
      <w:r>
        <w:rPr>
          <w:rFonts w:ascii="Arial" w:cs="Arial" w:eastAsia="Arial" w:hAnsi="Arial"/>
          <w:sz w:val="22"/>
          <w:szCs w:val="22"/>
        </w:rPr>
        <w:t xml:space="preserve">Anlage: Vollmacht der Frischetrans Mittelrhein GmbH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Klageandrohungsschreiben ProcessSpark Cloud AG</dc:title>
  <dc:creator>Un-named</dc:creator>
  <cp:lastModifiedBy>Un-named</cp:lastModifiedBy>
  <cp:revision>1</cp:revision>
  <dcterms:created xsi:type="dcterms:W3CDTF">2026-05-30T15:18:42.583Z</dcterms:created>
  <dcterms:modified xsi:type="dcterms:W3CDTF">2026-05-30T15:18:42.584Z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