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left"/>
      </w:pPr>
      <w:r>
        <w:rPr>
          <w:rFonts w:ascii="Calibri" w:hAnsi="Calibri"/>
          <w:b/>
          <w:i w:val="0"/>
          <w:sz w:val="28"/>
        </w:rPr>
        <w:t>Falkenberg Arbeitsrecht</w:t>
      </w:r>
    </w:p>
    <w:p>
      <w:pPr>
        <w:jc w:val="left"/>
      </w:pPr>
      <w:r>
        <w:rPr>
          <w:rFonts w:ascii="Calibri" w:hAnsi="Calibri"/>
          <w:b w:val="0"/>
          <w:i w:val="0"/>
          <w:sz w:val="22"/>
        </w:rPr>
        <w:t>Rechtsanwälte · Fachanwälte für Arbeitsrecht</w:t>
      </w:r>
    </w:p>
    <w:p>
      <w:pPr>
        <w:jc w:val="left"/>
      </w:pPr>
      <w:r>
        <w:rPr>
          <w:rFonts w:ascii="Calibri" w:hAnsi="Calibri"/>
          <w:b w:val="0"/>
          <w:i w:val="0"/>
          <w:sz w:val="22"/>
        </w:rPr>
        <w:t>Potsdamer Platz 7, 10785 Berlin · Tel.: 030 / 25 37 19 10 · Az.: FA 2026/0391</w:t>
      </w:r>
    </w:p>
    <w:p>
      <w:r>
        <w:rPr>
          <w:rFonts w:ascii="Calibri" w:hAnsi="Calibri"/>
          <w:sz w:val="18"/>
        </w:rPr>
        <w:t>────────────────────────────────────────────────────────────</w:t>
      </w:r>
    </w:p>
    <w:p/>
    <w:p>
      <w:pPr>
        <w:jc w:val="left"/>
      </w:pPr>
      <w:r>
        <w:rPr>
          <w:rFonts w:ascii="Calibri" w:hAnsi="Calibri"/>
          <w:b w:val="0"/>
          <w:i w:val="0"/>
          <w:sz w:val="22"/>
        </w:rPr>
        <w:t>Arbeitsgericht Berlin</w:t>
        <w:br/>
        <w:t>Magdeburger Platz 1</w:t>
        <w:br/>
        <w:t>10785 Berlin</w:t>
      </w:r>
    </w:p>
    <w:p/>
    <w:p>
      <w:pPr>
        <w:jc w:val="right"/>
      </w:pPr>
      <w:r>
        <w:rPr>
          <w:rFonts w:ascii="Calibri" w:hAnsi="Calibri"/>
          <w:b w:val="0"/>
          <w:i w:val="0"/>
          <w:sz w:val="22"/>
        </w:rPr>
        <w:t>Berlin, 28. Mai 2026</w:t>
      </w:r>
    </w:p>
    <w:p/>
    <w:p>
      <w:pPr>
        <w:jc w:val="left"/>
      </w:pPr>
      <w:r>
        <w:rPr>
          <w:rFonts w:ascii="Calibri" w:hAnsi="Calibri"/>
          <w:b w:val="0"/>
          <w:i w:val="0"/>
          <w:sz w:val="22"/>
        </w:rPr>
        <w:t>In dem Rechtsstreit Weber ./. TechLogix GmbH -- Az. 28 Ca 7314/26</w:t>
      </w:r>
    </w:p>
    <w:p/>
    <w:p>
      <w:pPr>
        <w:jc w:val="left"/>
      </w:pPr>
      <w:r>
        <w:rPr>
          <w:rFonts w:ascii="Calibri" w:hAnsi="Calibri"/>
          <w:b w:val="0"/>
          <w:i w:val="0"/>
          <w:sz w:val="22"/>
        </w:rPr>
        <w:t>zeigen wir an, dass wir die Beklagte vertreten (Vollmacht Anlage B 1).</w:t>
      </w:r>
    </w:p>
    <w:p/>
    <w:p>
      <w:pPr>
        <w:jc w:val="center"/>
      </w:pPr>
      <w:r>
        <w:rPr>
          <w:rFonts w:ascii="Calibri" w:hAnsi="Calibri"/>
          <w:b/>
          <w:i w:val="0"/>
          <w:sz w:val="28"/>
        </w:rPr>
        <w:t>Klageerwiderung</w:t>
      </w:r>
    </w:p>
    <w:p/>
    <w:p>
      <w:pPr>
        <w:jc w:val="left"/>
      </w:pPr>
      <w:r>
        <w:rPr>
          <w:rFonts w:ascii="Calibri" w:hAnsi="Calibri"/>
          <w:b/>
          <w:i w:val="0"/>
          <w:sz w:val="22"/>
        </w:rPr>
        <w:t>Wir beantragen:</w:t>
      </w:r>
    </w:p>
    <w:p>
      <w:pPr>
        <w:jc w:val="left"/>
      </w:pPr>
      <w:r>
        <w:rPr>
          <w:rFonts w:ascii="Calibri" w:hAnsi="Calibri"/>
          <w:b w:val="0"/>
          <w:i w:val="0"/>
          <w:sz w:val="22"/>
        </w:rPr>
        <w:t>1. Die Klage wird abgewiesen.</w:t>
      </w:r>
    </w:p>
    <w:p>
      <w:pPr>
        <w:jc w:val="left"/>
      </w:pPr>
      <w:r>
        <w:rPr>
          <w:rFonts w:ascii="Calibri" w:hAnsi="Calibri"/>
          <w:b w:val="0"/>
          <w:i w:val="0"/>
          <w:sz w:val="22"/>
        </w:rPr>
        <w:t>2. Der Kläger trägt die Kosten des Rechtsstreits.</w:t>
      </w:r>
    </w:p>
    <w:p/>
    <w:p>
      <w:r>
        <w:rPr>
          <w:rFonts w:ascii="Calibri" w:hAnsi="Calibri"/>
          <w:b/>
          <w:i w:val="0"/>
          <w:sz w:val="22"/>
        </w:rPr>
        <w:t>I. Vorbemerkung</w:t>
      </w:r>
    </w:p>
    <w:p>
      <w:r>
        <w:rPr>
          <w:rFonts w:ascii="Calibri" w:hAnsi="Calibri"/>
          <w:b w:val="0"/>
          <w:i w:val="0"/>
          <w:sz w:val="22"/>
        </w:rPr>
        <w:t>Die Kündigung der Beklagten ist rechtswirksam. Die Beklagte hat eine ernsthafte, bereits zum Zeitpunkt der Kündigung in Vertragsform gegossene unternehmerische Entscheidung getroffen, eine ordnungsgemäße Betriebsratsanhörung durchgeführt und die Sozialauswahl sorgfältig vorgenommen.</w:t>
      </w:r>
    </w:p>
    <w:p/>
    <w:p>
      <w:r>
        <w:rPr>
          <w:rFonts w:ascii="Calibri" w:hAnsi="Calibri"/>
          <w:b/>
          <w:i w:val="0"/>
          <w:sz w:val="22"/>
        </w:rPr>
        <w:t>II. Unternehmerische Entscheidung</w:t>
      </w:r>
    </w:p>
    <w:p>
      <w:r>
        <w:rPr>
          <w:rFonts w:ascii="Calibri" w:hAnsi="Calibri"/>
          <w:b w:val="0"/>
          <w:i w:val="0"/>
          <w:sz w:val="22"/>
        </w:rPr>
        <w:t>Der Outsourcing-Vertrag mit der DataFlow Solutions GmbH wurde am 22. April 2026 unterzeichnet (Anlage B 3). Die unternehmerische Entscheidung lag damit zum Zeitpunkt der Kündigung (28.04.2026) endgültig fest.</w:t>
      </w:r>
    </w:p>
    <w:p/>
    <w:p>
      <w:r>
        <w:rPr>
          <w:rFonts w:ascii="Calibri" w:hAnsi="Calibri"/>
          <w:b/>
          <w:i w:val="0"/>
          <w:sz w:val="22"/>
        </w:rPr>
        <w:t>III. Betriebsratsanhörung</w:t>
      </w:r>
    </w:p>
    <w:p>
      <w:r>
        <w:rPr>
          <w:rFonts w:ascii="Calibri" w:hAnsi="Calibri"/>
          <w:b w:val="0"/>
          <w:i w:val="0"/>
          <w:sz w:val="22"/>
        </w:rPr>
        <w:t>Das vollständige Anhörungsschreiben (inkl. Seite 2) wurde dem BR-Vorsitzenden Hähnel am 24. April 2026 persönlich übergeben (Empfangsbestätigung Anlage B 4/B 5). Das klägerseits vorgelegte Exemplar ist eine ältere Vorabfassung. Der BR hat innerhalb der Wochenfrist keine Stellungnahme abgegeben.</w:t>
      </w:r>
    </w:p>
    <w:p/>
    <w:p>
      <w:r>
        <w:rPr>
          <w:rFonts w:ascii="Calibri" w:hAnsi="Calibri"/>
          <w:b/>
          <w:i w:val="0"/>
          <w:sz w:val="22"/>
        </w:rPr>
        <w:t>IV. Sozialauswahl</w:t>
      </w:r>
    </w:p>
    <w:p>
      <w:r>
        <w:rPr>
          <w:rFonts w:ascii="Calibri" w:hAnsi="Calibri"/>
          <w:b w:val="0"/>
          <w:i w:val="0"/>
          <w:sz w:val="22"/>
        </w:rPr>
        <w:t>Grunewald und Sonnleitner sind mit dem Kläger nicht vergleichbar. Grunewald führt ausschließlich 1st- und 2nd-Level-Support durch; er ist für die komplexen Backend-Aufgaben des Klägers weder ausgebildet noch erfahren (BAG, Urt. v. 05.06.2008 – 2 AZR 907/06). Der Kläger war der einzige Arbeitnehmer in seiner Vergleichsgruppe.</w:t>
      </w:r>
    </w:p>
    <w:p/>
    <w:p>
      <w:r>
        <w:rPr>
          <w:rFonts w:ascii="Calibri" w:hAnsi="Calibri"/>
          <w:b/>
          <w:i w:val="0"/>
          <w:sz w:val="22"/>
        </w:rPr>
        <w:t>V. Weiterbeschäftigung</w:t>
      </w:r>
    </w:p>
    <w:p>
      <w:r>
        <w:rPr>
          <w:rFonts w:ascii="Calibri" w:hAnsi="Calibri"/>
          <w:b w:val="0"/>
          <w:i w:val="0"/>
          <w:sz w:val="22"/>
        </w:rPr>
        <w:t>Der Weiterbeschäftigungsantrag ist unbegründet. Die Kündigung ist wirksam; die Stelle wurde bereits auf DataFlow Solutions übertragen. Die Beklagte erklärt grundsätzliche Vergleichsbereitschaft für den Gütetermin.</w:t>
      </w:r>
    </w:p>
    <w:p/>
    <w:p>
      <w:r>
        <w:rPr>
          <w:rFonts w:ascii="Calibri" w:hAnsi="Calibri"/>
          <w:sz w:val="18"/>
        </w:rPr>
        <w:t>────────────────────────────────────────────────────────────</w:t>
      </w:r>
    </w:p>
    <w:p>
      <w:pPr>
        <w:jc w:val="left"/>
      </w:pPr>
      <w:r>
        <w:rPr>
          <w:rFonts w:ascii="Calibri" w:hAnsi="Calibri"/>
          <w:b w:val="0"/>
          <w:i w:val="0"/>
          <w:sz w:val="22"/>
        </w:rPr>
        <w:t>Anlagen: B 1 Vollmacht · B 2 GF-Beschluss 14.03.2026 · B 3 DataFlow-Vertrag (Auszug) · B 4 Vollständiges BR-Anhörungsschreiben · B 5 Empfangsbestätigung</w:t>
      </w:r>
    </w:p>
    <w:p/>
    <w:p>
      <w:pPr>
        <w:jc w:val="left"/>
      </w:pPr>
      <w:r>
        <w:rPr>
          <w:rFonts w:ascii="Calibri" w:hAnsi="Calibri"/>
          <w:b/>
          <w:i w:val="0"/>
          <w:sz w:val="22"/>
        </w:rPr>
        <w:t>RAin Dr. Miriam Falkenberg</w:t>
        <w:br/>
        <w:t>Falkenberg Arbeitsrecht</w:t>
      </w:r>
    </w:p>
    <w:sectPr w:rsidR="00FC693F" w:rsidRPr="0006063C" w:rsidSect="00034616">
      <w:pgSz w:w="12240" w:h="15840"/>
      <w:pgMar w:top="1417"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