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Calibri" w:hAnsi="Calibri"/>
          <w:b/>
          <w:i w:val="0"/>
          <w:sz w:val="28"/>
        </w:rPr>
        <w:t>Kanzlei Steinhauer &amp; Vonau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Rechtsanwälte · Oranienstr. 14, 10999 Berlin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Tel.: 030 / 69 81 44 20 · Az.: S&amp;V 2026/0512</w:t>
      </w:r>
    </w:p>
    <w:p>
      <w:r>
        <w:rPr>
          <w:rFonts w:ascii="Calibri" w:hAnsi="Calibri"/>
          <w:sz w:val="18"/>
        </w:rPr>
        <w:t>────────────────────────────────────────────────────────────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Arbeitsgericht Berlin</w:t>
        <w:br/>
        <w:t>Magdeburger Platz 1</w:t>
        <w:br/>
        <w:t>10785 Berlin</w:t>
      </w:r>
    </w:p>
    <w:p/>
    <w:p>
      <w:pPr>
        <w:jc w:val="right"/>
      </w:pPr>
      <w:r>
        <w:rPr>
          <w:rFonts w:ascii="Calibri" w:hAnsi="Calibri"/>
          <w:b w:val="0"/>
          <w:i w:val="0"/>
          <w:sz w:val="22"/>
        </w:rPr>
        <w:t>Berlin, 14. Mai 2026</w:t>
      </w:r>
    </w:p>
    <w:p/>
    <w:p>
      <w:pPr>
        <w:jc w:val="center"/>
      </w:pPr>
      <w:r>
        <w:rPr>
          <w:rFonts w:ascii="Calibri" w:hAnsi="Calibri"/>
          <w:b/>
          <w:i w:val="0"/>
          <w:sz w:val="28"/>
        </w:rPr>
        <w:t>Klage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In dem Rechtsstreit</w:t>
      </w:r>
    </w:p>
    <w:p>
      <w:pPr>
        <w:jc w:val="left"/>
      </w:pPr>
      <w:r>
        <w:rPr>
          <w:rFonts w:ascii="Calibri" w:hAnsi="Calibri"/>
          <w:b/>
          <w:i w:val="0"/>
          <w:sz w:val="22"/>
        </w:rPr>
        <w:t>Marcus Weber, Berliner Str. 42, 10243 Berlin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-- Kläger --</w:t>
        <w:br/>
        <w:t>Prozessbevollmächtigte: Rechtsanwälte Steinhauer &amp; Vonau, Oranienstr. 14, 10999 Berlin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gegen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TechLogix GmbH, Tempelhofer Damm 18, 12099 Berlin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vertreten durch die Geschäftsführerin Anja Kreutzfeldt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-- Beklagte --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erheben wir namens und in Vollmacht des Klägers</w:t>
      </w:r>
    </w:p>
    <w:p>
      <w:pPr>
        <w:jc w:val="center"/>
      </w:pPr>
      <w:r>
        <w:rPr>
          <w:rFonts w:ascii="Calibri" w:hAnsi="Calibri"/>
          <w:b/>
          <w:i w:val="0"/>
          <w:sz w:val="28"/>
        </w:rPr>
        <w:t>K L A G E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und beantragen:</w:t>
      </w:r>
    </w:p>
    <w:p>
      <w:r>
        <w:rPr>
          <w:rFonts w:ascii="Calibri" w:hAnsi="Calibri"/>
          <w:b w:val="0"/>
          <w:i w:val="0"/>
          <w:sz w:val="22"/>
        </w:rPr>
        <w:t>1. Es wird festgestellt, dass das Arbeitsverhältnis der Parteien durch die Kündigung der Beklagten vom 28. April 2026, zugegangen am 30. April 2026, nicht aufgelöst worden ist.</w:t>
      </w:r>
    </w:p>
    <w:p>
      <w:r>
        <w:rPr>
          <w:rFonts w:ascii="Calibri" w:hAnsi="Calibri"/>
          <w:b w:val="0"/>
          <w:i w:val="0"/>
          <w:sz w:val="22"/>
        </w:rPr>
        <w:t>2. Die Beklagte wird verurteilt, den Kläger bis zum rechtskräftigen Abschluss des Rechtsstreits zu unveränderten Arbeitsbedingungen als Senior IT-Administrator weiterzubeschäftigen.</w:t>
      </w:r>
    </w:p>
    <w:p>
      <w:r>
        <w:rPr>
          <w:rFonts w:ascii="Calibri" w:hAnsi="Calibri"/>
          <w:b w:val="0"/>
          <w:i w:val="0"/>
          <w:sz w:val="22"/>
        </w:rPr>
        <w:t>3. Die Beklagte trägt die Kosten des Rechtsstreits.</w:t>
      </w:r>
    </w:p>
    <w:p/>
    <w:p>
      <w:r>
        <w:rPr>
          <w:rFonts w:ascii="Calibri" w:hAnsi="Calibri"/>
          <w:sz w:val="18"/>
        </w:rPr>
        <w:t>────────────────────────────────────────────────────────────</w:t>
      </w:r>
    </w:p>
    <w:p>
      <w:pPr>
        <w:jc w:val="left"/>
      </w:pPr>
      <w:r>
        <w:rPr>
          <w:rFonts w:ascii="Calibri" w:hAnsi="Calibri"/>
          <w:b/>
          <w:i w:val="0"/>
          <w:sz w:val="28"/>
        </w:rPr>
        <w:t>Begründung</w:t>
      </w:r>
    </w:p>
    <w:p/>
    <w:p>
      <w:r>
        <w:rPr>
          <w:rFonts w:ascii="Calibri" w:hAnsi="Calibri"/>
          <w:b/>
          <w:i w:val="0"/>
          <w:sz w:val="22"/>
        </w:rPr>
        <w:t>I. Sachverhalt</w:t>
      </w:r>
    </w:p>
    <w:p>
      <w:r>
        <w:rPr>
          <w:rFonts w:ascii="Calibri" w:hAnsi="Calibri"/>
          <w:b w:val="0"/>
          <w:i w:val="0"/>
          <w:sz w:val="22"/>
        </w:rPr>
        <w:t>Der Kläger ist seit dem 1. März 2018 bei der Beklagten als Senior IT-Administrator beschäftigt. Zuletzt bezog er ein monatliches Bruttogehalt von EUR 4.850,00. Die Beklagte beschäftigt 23 Arbeitnehmer (KSchG-gewichtet: 19,5 Köpfe). Das KSchG ist anwendbar.</w:t>
      </w:r>
    </w:p>
    <w:p/>
    <w:p>
      <w:r>
        <w:rPr>
          <w:rFonts w:ascii="Calibri" w:hAnsi="Calibri"/>
          <w:b/>
          <w:i w:val="0"/>
          <w:sz w:val="22"/>
        </w:rPr>
        <w:t>1. Zugang der Kündigung</w:t>
      </w:r>
    </w:p>
    <w:p>
      <w:r>
        <w:rPr>
          <w:rFonts w:ascii="Calibri" w:hAnsi="Calibri"/>
          <w:b w:val="0"/>
          <w:i w:val="0"/>
          <w:sz w:val="22"/>
        </w:rPr>
        <w:t>Am 30. April 2026 wurde dem Kläger die Kündigung vom 28. April 2026 per Botenzustellung um ca. 16:42 Uhr in den Hausbriefkasten eingeworfen. Zeugin: Dorothea Koslowski (Anlage K 5). Beendigungsdatum: 31. August 2026. Dreiwochen-Frist § 4 KSchG: 20. Mai 2026.</w:t>
      </w:r>
    </w:p>
    <w:p/>
    <w:p>
      <w:r>
        <w:rPr>
          <w:rFonts w:ascii="Calibri" w:hAnsi="Calibri"/>
          <w:b/>
          <w:i w:val="0"/>
          <w:sz w:val="22"/>
        </w:rPr>
        <w:t>2. Betriebsratsanhörung</w:t>
      </w:r>
    </w:p>
    <w:p>
      <w:r>
        <w:rPr>
          <w:rFonts w:ascii="Calibri" w:hAnsi="Calibri"/>
          <w:b w:val="0"/>
          <w:i w:val="0"/>
          <w:sz w:val="22"/>
        </w:rPr>
        <w:t>Das Anhörungsschreiben der Beklagten an den Betriebsrat trägt kein Datum (Anlage K 3). Seite 2 fehlt. Betriebsratsvorsitzender Hähnel erklärte, das Schreiben 'zu spät' erhalten zu haben. Kein Widerspruch wurde eingelegt.</w:t>
      </w:r>
    </w:p>
    <w:p/>
    <w:p>
      <w:r>
        <w:rPr>
          <w:rFonts w:ascii="Calibri" w:hAnsi="Calibri"/>
          <w:b/>
          <w:i w:val="0"/>
          <w:sz w:val="22"/>
        </w:rPr>
        <w:t>3. Sozialauswahl</w:t>
      </w:r>
    </w:p>
    <w:p>
      <w:r>
        <w:rPr>
          <w:rFonts w:ascii="Calibri" w:hAnsi="Calibri"/>
          <w:b w:val="0"/>
          <w:i w:val="0"/>
          <w:sz w:val="22"/>
        </w:rPr>
        <w:t>Im IT-Bereich waren neben dem Kläger (15 Sozialauswahlpunkte) Felix Grunewald (2 Punkte: ledig, keine Kinder, 2 J. BZ) und Petra Sonnleitner (13 Punkte) tätig. Grunewald hätte zuerst entlassen werden müssen.</w:t>
      </w:r>
    </w:p>
    <w:p/>
    <w:p>
      <w:r>
        <w:rPr>
          <w:rFonts w:ascii="Calibri" w:hAnsi="Calibri"/>
          <w:b/>
          <w:i w:val="0"/>
          <w:sz w:val="22"/>
        </w:rPr>
        <w:t>4. Unternehmerische Entscheidung</w:t>
      </w:r>
    </w:p>
    <w:p>
      <w:r>
        <w:rPr>
          <w:rFonts w:ascii="Calibri" w:hAnsi="Calibri"/>
          <w:b w:val="0"/>
          <w:i w:val="0"/>
          <w:sz w:val="22"/>
        </w:rPr>
        <w:t>Kreutzfeldt teilte dem Kläger am 25.03.2026 mit, die Verhandlungen mit DataFlow Solutions seien 'noch nicht ganz fertig' (Anlage K 4). Ob der Outsourcing-Vertrag am 28.04.2026 bereits unterzeichnet war, ist strittig.</w:t>
      </w:r>
    </w:p>
    <w:p/>
    <w:p>
      <w:r>
        <w:rPr>
          <w:rFonts w:ascii="Calibri" w:hAnsi="Calibri"/>
          <w:b/>
          <w:i w:val="0"/>
          <w:sz w:val="22"/>
        </w:rPr>
        <w:t>II. Rechtliche Würdigung -- Unwirksamkeit der Kündigung</w:t>
      </w:r>
    </w:p>
    <w:p>
      <w:r>
        <w:rPr>
          <w:rFonts w:ascii="Calibri" w:hAnsi="Calibri"/>
          <w:b w:val="0"/>
          <w:i w:val="0"/>
          <w:sz w:val="22"/>
        </w:rPr>
        <w:t>Die Kündigung ist aus drei voneinander unabhängigen Gründen unwirksam:</w:t>
        <w:br/>
        <w:br/>
        <w:t>1. Fehlerhafte BR-Anhörung (§ 102 Abs. 1 S. 3 BetrVG): fehlendes Datum, fehlende Seite 2, streitiger Zugangszeitpunkt.</w:t>
        <w:br/>
        <w:br/>
        <w:t>2. Fehlerhafte Sozialauswahl (§ 1 Abs. 3 KSchG): Grunewald (2 Punkte) hätte vor Weber (15 Punkte) entlassen werden müssen.</w:t>
        <w:br/>
        <w:br/>
        <w:t>3. Keine ausreichend gefestigte unternehmerische Entscheidung (§ 1 Abs. 2 KSchG): Outsourcing-Vertrag zum Kündigungszeitpunkt ggf. noch nicht unterzeichnet.</w:t>
      </w:r>
    </w:p>
    <w:p/>
    <w:p>
      <w:r>
        <w:rPr>
          <w:rFonts w:ascii="Calibri" w:hAnsi="Calibri"/>
          <w:b/>
          <w:i w:val="0"/>
          <w:sz w:val="22"/>
        </w:rPr>
        <w:t>III. Weiterbeschäftigungsantrag</w:t>
      </w:r>
    </w:p>
    <w:p>
      <w:r>
        <w:rPr>
          <w:rFonts w:ascii="Calibri" w:hAnsi="Calibri"/>
          <w:b w:val="0"/>
          <w:i w:val="0"/>
          <w:sz w:val="22"/>
        </w:rPr>
        <w:t>Nach BAG GS 1/84 besteht ein Weiterbeschäftigungsanspruch bis zum rechtskräftigen Verfahrensabschluss, da die Unwirksamkeit der Kündigung offensichtlich ist. Das Interesse des Klägers (Hauptverdiener, 2 Kinder) überwiegt das Interesse der Beklagten an der Nichtbeschäftigung.</w:t>
      </w:r>
    </w:p>
    <w:p/>
    <w:p>
      <w:r>
        <w:rPr>
          <w:rFonts w:ascii="Calibri" w:hAnsi="Calibri"/>
          <w:sz w:val="18"/>
        </w:rPr>
        <w:t>────────────────────────────────────────────────────────────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Anlagen: K 1 Gehaltsabrechnung · K 2 Kündigung · K 3 BR-Anhörung · K 4 Notiz Weber · K 5 Koslowski · K 6 Betriebsgrößenberechnung · K 7 Vollmacht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Rechtsanwalt Benedikt Steinhauer</w:t>
        <w:br/>
        <w:t>Kanzlei Steinhauer &amp; Vonau</w:t>
      </w:r>
    </w:p>
    <w:sectPr w:rsidR="00FC693F" w:rsidRPr="0006063C" w:rsidSect="00034616">
      <w:pgSz w:w="12240" w:h="15840"/>
      <w:pgMar w:top="1417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