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rFonts w:ascii="Calibri" w:hAnsi="Calibri"/>
          <w:b/>
          <w:i w:val="0"/>
          <w:sz w:val="28"/>
        </w:rPr>
        <w:t>Kanzlei Steinhauer &amp; Vonau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Rechtsanwälte · Oranienstr. 14, 10999 Berlin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Tel.: 030 / 69 81 44 20 · kanzlei@steinhauer-vonau.de</w:t>
      </w:r>
    </w:p>
    <w:p>
      <w:r>
        <w:rPr>
          <w:rFonts w:ascii="Calibri" w:hAnsi="Calibri"/>
          <w:sz w:val="18"/>
        </w:rPr>
        <w:t>────────────────────────────────────────────────────────────</w:t>
      </w:r>
    </w:p>
    <w:p/>
    <w:p>
      <w:pPr>
        <w:jc w:val="center"/>
      </w:pPr>
      <w:r>
        <w:rPr>
          <w:rFonts w:ascii="Calibri" w:hAnsi="Calibri"/>
          <w:b/>
          <w:i w:val="0"/>
          <w:sz w:val="28"/>
        </w:rPr>
        <w:t>VOLLMACHT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Ich,</w:t>
      </w:r>
    </w:p>
    <w:p>
      <w:pPr>
        <w:jc w:val="left"/>
      </w:pPr>
      <w:r>
        <w:rPr>
          <w:rFonts w:ascii="Calibri" w:hAnsi="Calibri"/>
          <w:b/>
          <w:i w:val="0"/>
          <w:sz w:val="22"/>
        </w:rPr>
        <w:t>Marcus Weber</w:t>
        <w:br/>
        <w:t>geb. 12. September 1981</w:t>
        <w:br/>
        <w:t>Berliner Str. 42, 10243 Berlin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bevollmächtige hiermit</w:t>
      </w:r>
    </w:p>
    <w:p>
      <w:pPr>
        <w:jc w:val="left"/>
      </w:pPr>
      <w:r>
        <w:rPr>
          <w:rFonts w:ascii="Calibri" w:hAnsi="Calibri"/>
          <w:b/>
          <w:i w:val="0"/>
          <w:sz w:val="22"/>
        </w:rPr>
        <w:t>Rechtsanwalt Benedikt Steinhauer</w:t>
        <w:br/>
        <w:t>und alle in der Kanzlei Steinhauer &amp; Vonau tätigen Rechtsanwältinnen und Rechtsanwälte</w:t>
        <w:br/>
        <w:t>-- nachfolgend 'Bevollmaechtigte' --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mich in allen Angelegenheiten betreffend die Kündigung durch die TechLogix GmbH vom 28. April 2026 umfassend gerichtlich und außergerichtlich zu vertreten, insbesondere:</w:t>
      </w:r>
    </w:p>
    <w:p/>
    <w:p>
      <w:pPr>
        <w:pStyle w:val="ListBullet"/>
      </w:pPr>
      <w:r>
        <w:rPr>
          <w:rFonts w:ascii="Calibri" w:hAnsi="Calibri"/>
          <w:b w:val="0"/>
          <w:i w:val="0"/>
          <w:sz w:val="22"/>
        </w:rPr>
        <w:t>Erhebung einer Kündigungsschutzklage gemäß § 4 KSchG</w:t>
      </w:r>
    </w:p>
    <w:p>
      <w:pPr>
        <w:pStyle w:val="ListBullet"/>
      </w:pPr>
      <w:r>
        <w:rPr>
          <w:rFonts w:ascii="Calibri" w:hAnsi="Calibri"/>
          <w:b w:val="0"/>
          <w:i w:val="0"/>
          <w:sz w:val="22"/>
        </w:rPr>
        <w:t>Einlegung aller Rechtsmittel (Berufung, Revision, NZB)</w:t>
      </w:r>
    </w:p>
    <w:p>
      <w:pPr>
        <w:pStyle w:val="ListBullet"/>
      </w:pPr>
      <w:r>
        <w:rPr>
          <w:rFonts w:ascii="Calibri" w:hAnsi="Calibri"/>
          <w:b w:val="0"/>
          <w:i w:val="0"/>
          <w:sz w:val="22"/>
        </w:rPr>
        <w:t>Stellung aller verfahrensbezogenen Anträge einschließlich Weiterbeschäftigungsantrag</w:t>
      </w:r>
    </w:p>
    <w:p>
      <w:pPr>
        <w:pStyle w:val="ListBullet"/>
      </w:pPr>
      <w:r>
        <w:rPr>
          <w:rFonts w:ascii="Calibri" w:hAnsi="Calibri"/>
          <w:b w:val="0"/>
          <w:i w:val="0"/>
          <w:sz w:val="22"/>
        </w:rPr>
        <w:t>Abschluss von Vergleichen (Rückfragepflicht bei Beträgen über EUR 15.000)</w:t>
      </w:r>
    </w:p>
    <w:p>
      <w:pPr>
        <w:pStyle w:val="ListBullet"/>
      </w:pPr>
      <w:r>
        <w:rPr>
          <w:rFonts w:ascii="Calibri" w:hAnsi="Calibri"/>
          <w:b w:val="0"/>
          <w:i w:val="0"/>
          <w:sz w:val="22"/>
        </w:rPr>
        <w:t>Empfang von Zustellungen und Zahlungen</w:t>
      </w:r>
    </w:p>
    <w:p>
      <w:pPr>
        <w:pStyle w:val="ListBullet"/>
      </w:pPr>
      <w:r>
        <w:rPr>
          <w:rFonts w:ascii="Calibri" w:hAnsi="Calibri"/>
          <w:b w:val="0"/>
          <w:i w:val="0"/>
          <w:sz w:val="22"/>
        </w:rPr>
        <w:t>Einsichtnahme in Gerichts- und Verwaltungsakten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Diese Vollmacht gilt über den Tod des Vollmachtgebers hinaus.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Berlin, 06. Mai 2026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________________________________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Marcus Weber</w:t>
        <w:br/>
        <w:t>(eigenhändig unterschrieben)</w:t>
      </w:r>
    </w:p>
    <w:p/>
    <w:p>
      <w:pPr>
        <w:jc w:val="left"/>
      </w:pPr>
      <w:r>
        <w:rPr>
          <w:rFonts w:ascii="Calibri" w:hAnsi="Calibri"/>
          <w:b w:val="0"/>
          <w:i/>
          <w:sz w:val="20"/>
        </w:rPr>
        <w:t>[Kanzleivermerk: Original liegt in der Handakte, Kopie zu den Gerichtsakten]</w:t>
      </w:r>
    </w:p>
    <w:sectPr w:rsidR="00FC693F" w:rsidRPr="0006063C" w:rsidSect="00034616">
      <w:pgSz w:w="12240" w:h="15840"/>
      <w:pgMar w:top="1417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