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rFonts w:ascii="Arial" w:hAnsi="Arial"/>
        </w:rPr>
        <w:t>Entwurf Anspruchsschreiben L-27</w:t>
      </w:r>
    </w:p>
    <w:p>
      <w:pPr>
        <w:pStyle w:val="Heading2"/>
      </w:pPr>
      <w:r>
        <w:t>Ausgangslage</w:t>
      </w:r>
    </w:p>
    <w:p>
      <w:pPr>
        <w:spacing w:after="120"/>
      </w:pPr>
      <w:r>
        <w:rPr>
          <w:rFonts w:ascii="Arial" w:hAnsi="Arial"/>
          <w:sz w:val="20"/>
        </w:rPr>
        <w:t>Unsere Mandantin beanstandet den Vertrieb des Modells „Curve Harbor“. Nach vorläufiger Sicht spricht viel dafür, dass das Produkt den Gesamteindruck des Stuhls L-27 übernimmt. Die Rechtekette und die registerrechtliche Lage werden noch final geprüft.</w:t>
      </w:r>
    </w:p>
    <w:p>
      <w:pPr>
        <w:pStyle w:val="Heading2"/>
      </w:pPr>
      <w:r>
        <w:t>Vorläufige Forderungen</w:t>
      </w:r>
    </w:p>
    <w:p>
      <w:pPr>
        <w:spacing w:after="120"/>
      </w:pPr>
      <w:r>
        <w:rPr>
          <w:rFonts w:ascii="Arial" w:hAnsi="Arial"/>
          <w:sz w:val="20"/>
        </w:rPr>
        <w:t>Unterlassung des Angebots und Vertriebs in der Europäischen Union, Auskunft über Hersteller, Liefermengen, Händler und Umsätze, Sicherung von Produktmustern, Frist zur Stellungnahme bis 03.06.2026, 12:00 Uhr.</w:t>
      </w:r>
    </w:p>
    <w:p>
      <w:pPr>
        <w:pStyle w:val="Heading2"/>
      </w:pPr>
      <w:r>
        <w:t>Noch zu klären</w:t>
      </w:r>
    </w:p>
    <w:p>
      <w:pPr>
        <w:spacing w:after="120"/>
      </w:pPr>
      <w:r>
        <w:rPr>
          <w:rFonts w:ascii="Arial" w:hAnsi="Arial"/>
          <w:sz w:val="20"/>
        </w:rPr>
        <w:t>Ob der Entwurf als Schreiben oder nur als Verhandlungsanker verwendet wird, hängt vom Ergebnis des Testkaufs, vom Registerstand und von der Bewertung der Agentur-Offenbarung ab.</w:t>
      </w:r>
    </w:p>
    <w:sectPr w:rsidR="00FC693F" w:rsidRPr="0006063C" w:rsidSect="00034616">
      <w:pgSz w:w="12240" w:h="15840"/>
      <w:pgMar w:top="964" w:right="1134" w:bottom="96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