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r>
        <w:rPr>
          <w:rFonts w:ascii="Calibri" w:cs="Calibri" w:eastAsia="Calibri" w:hAnsi="Calibri"/>
          <w:b/>
          <w:bCs/>
          <w:sz w:val="22"/>
          <w:szCs w:val="22"/>
        </w:rPr>
        <w:t xml:space="preserve">Klotzkette Rechtsanwaltsgesellschaft mbH</w:t>
      </w:r>
    </w:p>
    <w:p>
      <w:pPr>
        <w:spacing w:after="100"/>
      </w:pPr>
      <w:r>
        <w:rPr>
          <w:rFonts w:ascii="Calibri" w:cs="Calibri" w:eastAsia="Calibri" w:hAnsi="Calibri"/>
          <w:b w:val="false"/>
          <w:bCs w:val="false"/>
          <w:sz w:val="22"/>
          <w:szCs w:val="22"/>
        </w:rPr>
        <w:t xml:space="preserve">Friedrichstraße 112 · 10117 Berlin</w:t>
      </w:r>
    </w:p>
    <w:p>
      <w:pPr>
        <w:spacing w:after="100"/>
      </w:pPr>
      <w:r>
        <w:t xml:space="preserve"/>
      </w:r>
    </w:p>
    <w:p>
      <w:pPr>
        <w:spacing w:after="100"/>
      </w:pPr>
      <w:r>
        <w:rPr>
          <w:rFonts w:ascii="Calibri" w:cs="Calibri" w:eastAsia="Calibri" w:hAnsi="Calibri"/>
          <w:b w:val="false"/>
          <w:bCs w:val="false"/>
          <w:sz w:val="22"/>
          <w:szCs w:val="22"/>
        </w:rPr>
        <w:t xml:space="preserve">An das Landgericht Stuttgart — Zivilkammer —</w:t>
      </w:r>
    </w:p>
    <w:p>
      <w:pPr>
        <w:spacing w:after="100"/>
      </w:pPr>
      <w:r>
        <w:rPr>
          <w:rFonts w:ascii="Calibri" w:cs="Calibri" w:eastAsia="Calibri" w:hAnsi="Calibri"/>
          <w:b w:val="false"/>
          <w:bCs w:val="false"/>
          <w:sz w:val="22"/>
          <w:szCs w:val="22"/>
        </w:rPr>
        <w:t xml:space="preserve">Urbanstraße 20, 70182 Stuttgart</w:t>
      </w:r>
    </w:p>
    <w:p>
      <w:pPr>
        <w:spacing w:after="100"/>
      </w:pPr>
      <w:r>
        <w:t xml:space="preserve"/>
      </w:r>
    </w:p>
    <w:p>
      <w:pPr>
        <w:spacing w:after="400"/>
        <w:jc w:val="right"/>
      </w:pPr>
      <w:r>
        <w:rPr>
          <w:rFonts w:ascii="Calibri" w:cs="Calibri" w:eastAsia="Calibri" w:hAnsi="Calibri"/>
          <w:i/>
          <w:iCs/>
          <w:sz w:val="22"/>
          <w:szCs w:val="22"/>
        </w:rPr>
        <w:t xml:space="preserve">Berlin, 20. Mai 2025 (Entwurf)</w:t>
      </w:r>
    </w:p>
    <w:p>
      <w:pPr>
        <w:spacing w:after="200"/>
        <w:jc w:val="center"/>
      </w:pPr>
      <w:r>
        <w:rPr>
          <w:rFonts w:ascii="Calibri" w:cs="Calibri" w:eastAsia="Calibri" w:hAnsi="Calibri"/>
          <w:b/>
          <w:bCs/>
          <w:sz w:val="32"/>
          <w:szCs w:val="32"/>
        </w:rPr>
        <w:t xml:space="preserve">KLAGESCHRIFT</w:t>
      </w:r>
    </w:p>
    <w:p>
      <w:pPr>
        <w:spacing w:after="100"/>
      </w:pPr>
      <w:r>
        <w:rPr>
          <w:rFonts w:ascii="Calibri" w:cs="Calibri" w:eastAsia="Calibri" w:hAnsi="Calibri"/>
          <w:b w:val="false"/>
          <w:bCs w:val="false"/>
          <w:sz w:val="22"/>
          <w:szCs w:val="22"/>
        </w:rPr>
        <w:t xml:space="preserve">Klägerin: Dr. Henrike Edelmann, Bodenseering 7, 78462 Konstanz</w:t>
      </w:r>
    </w:p>
    <w:p>
      <w:pPr>
        <w:spacing w:after="100"/>
      </w:pPr>
      <w:r>
        <w:rPr>
          <w:rFonts w:ascii="Calibri" w:cs="Calibri" w:eastAsia="Calibri" w:hAnsi="Calibri"/>
          <w:b w:val="false"/>
          <w:bCs w:val="false"/>
          <w:sz w:val="22"/>
          <w:szCs w:val="22"/>
        </w:rPr>
        <w:t xml:space="preserve">Beklagter: Constantin Edelmann, Hauptstraße 211, 10827 Berlin</w:t>
      </w:r>
    </w:p>
    <w:p>
      <w:pPr>
        <w:spacing w:after="100"/>
      </w:pPr>
      <w:r>
        <w:rPr>
          <w:rFonts w:ascii="Calibri" w:cs="Calibri" w:eastAsia="Calibri" w:hAnsi="Calibri"/>
          <w:b w:val="false"/>
          <w:bCs w:val="false"/>
          <w:sz w:val="22"/>
          <w:szCs w:val="22"/>
        </w:rPr>
        <w:t xml:space="preserve">Vorläufiger Streitwert: 85.000 EUR</w:t>
      </w:r>
    </w:p>
    <w:p>
      <w:pPr>
        <w:spacing w:after="100"/>
      </w:pPr>
      <w:r>
        <w:t xml:space="preserve"/>
      </w:r>
    </w:p>
    <w:p>
      <w:pPr>
        <w:pStyle w:val="Heading1"/>
        <w:spacing w:after="200" w:before="400"/>
      </w:pPr>
      <w:r>
        <w:t xml:space="preserve">I. Anträge</w:t>
      </w:r>
    </w:p>
    <w:p>
      <w:pPr>
        <w:spacing w:after="100"/>
      </w:pPr>
      <w:r>
        <w:rPr>
          <w:rFonts w:ascii="Calibri" w:cs="Calibri" w:eastAsia="Calibri" w:hAnsi="Calibri"/>
          <w:b w:val="false"/>
          <w:bCs w:val="false"/>
          <w:sz w:val="22"/>
          <w:szCs w:val="22"/>
        </w:rPr>
        <w:t xml:space="preserve">Die Klägerin beantragt:</w:t>
      </w:r>
    </w:p>
    <w:p>
      <w:pPr>
        <w:spacing w:after="100"/>
      </w:pPr>
      <w:r>
        <w:t xml:space="preserve"/>
      </w:r>
    </w:p>
    <w:p>
      <w:pPr>
        <w:spacing w:after="100"/>
      </w:pPr>
      <w:r>
        <w:rPr>
          <w:rFonts w:ascii="Calibri" w:cs="Calibri" w:eastAsia="Calibri" w:hAnsi="Calibri"/>
          <w:b w:val="false"/>
          <w:bCs w:val="false"/>
          <w:sz w:val="22"/>
          <w:szCs w:val="22"/>
        </w:rPr>
        <w:t xml:space="preserve">1. Den Beklagten zu verurteilen, der Klägerin über den Bestand der Schenkungen, die der Erblasser Prof. Dr. Reinhard Edelmann (verst. 12.03.2025) dem Beklagten in den letzten zehn Jahren vor dem Erbfall gemacht hat, vollständig und richtig Auskunft zu erteilen, insbesondere durch Vorlage der Kontoauszüge des Beklagten, der Transaktionsnachweise für alle Kryptowährungs-Transaktionen und einer eidesstattlichen Versicherung nach § 260 Abs. 2 BGB;</w:t>
      </w:r>
    </w:p>
    <w:p>
      <w:pPr>
        <w:spacing w:after="100"/>
      </w:pPr>
      <w:r>
        <w:t xml:space="preserve"/>
      </w:r>
    </w:p>
    <w:p>
      <w:pPr>
        <w:spacing w:after="100"/>
      </w:pPr>
      <w:r>
        <w:rPr>
          <w:rFonts w:ascii="Calibri" w:cs="Calibri" w:eastAsia="Calibri" w:hAnsi="Calibri"/>
          <w:b w:val="false"/>
          <w:bCs w:val="false"/>
          <w:sz w:val="22"/>
          <w:szCs w:val="22"/>
        </w:rPr>
        <w:t xml:space="preserve">2. Den Beklagten nach Erteilung der Auskunft zu verurteilen, an die Klägerin den sich aus der Auskunft ergebenden Pflichtteilsergänzungsbetrag nebst Zinsen in Höhe von 5 Prozentpunkten über dem Basiszinssatz seit Rechtshängigkeit zu zahlen, vorläufiger Betrag: 85.000 EUR;</w:t>
      </w:r>
    </w:p>
    <w:p>
      <w:pPr>
        <w:spacing w:after="100"/>
      </w:pPr>
      <w:r>
        <w:t xml:space="preserve"/>
      </w:r>
    </w:p>
    <w:p>
      <w:pPr>
        <w:spacing w:after="100"/>
      </w:pPr>
      <w:r>
        <w:rPr>
          <w:rFonts w:ascii="Calibri" w:cs="Calibri" w:eastAsia="Calibri" w:hAnsi="Calibri"/>
          <w:b w:val="false"/>
          <w:bCs w:val="false"/>
          <w:sz w:val="22"/>
          <w:szCs w:val="22"/>
        </w:rPr>
        <w:t xml:space="preserve">3. Die Kosten des Rechtsstreits dem Beklagten aufzuerlegen.</w:t>
      </w:r>
    </w:p>
    <w:p>
      <w:pPr>
        <w:spacing w:after="100"/>
      </w:pPr>
      <w:r>
        <w:t xml:space="preserve"/>
      </w:r>
    </w:p>
    <w:p>
      <w:pPr>
        <w:pStyle w:val="Heading1"/>
        <w:spacing w:after="200" w:before="400"/>
      </w:pPr>
      <w:r>
        <w:t xml:space="preserve">II. Sachverhalt</w:t>
      </w:r>
    </w:p>
    <w:p>
      <w:pPr>
        <w:pStyle w:val="Heading2"/>
        <w:spacing w:after="120" w:before="300"/>
      </w:pPr>
      <w:r>
        <w:t xml:space="preserve">1. Parteien und Erbfall</w:t>
      </w:r>
    </w:p>
    <w:p>
      <w:pPr>
        <w:spacing w:after="100"/>
      </w:pPr>
      <w:r>
        <w:rPr>
          <w:rFonts w:ascii="Calibri" w:cs="Calibri" w:eastAsia="Calibri" w:hAnsi="Calibri"/>
          <w:b w:val="false"/>
          <w:bCs w:val="false"/>
          <w:sz w:val="22"/>
          <w:szCs w:val="22"/>
        </w:rPr>
        <w:t xml:space="preserve">Der Erblasser Prof. Dr. Reinhard Edelmann ist am 12.03.2025 in Stuttgart verstorben. Er hat ein eigenhändiges Testament vom 09.11.2019 hinterlassen, das Marlies Edelmann-Praun, Dr. Henrike Edelmann, den Beklagten Constantin Edelmann und Marie-Theres Edelmann-Berlepsch zu je 1/4 als Erben einsetzt. Das Testament wurde vom Nachlassgericht Stuttgart am 28.03.2025 eröffnet (Az. 24 VI 213/25).</w:t>
      </w:r>
    </w:p>
    <w:p>
      <w:pPr>
        <w:spacing w:after="100"/>
      </w:pPr>
      <w:r>
        <w:t xml:space="preserve"/>
      </w:r>
    </w:p>
    <w:p>
      <w:pPr>
        <w:spacing w:after="100"/>
      </w:pPr>
      <w:r>
        <w:rPr>
          <w:rFonts w:ascii="Calibri" w:cs="Calibri" w:eastAsia="Calibri" w:hAnsi="Calibri"/>
          <w:b w:val="false"/>
          <w:bCs w:val="false"/>
          <w:sz w:val="22"/>
          <w:szCs w:val="22"/>
        </w:rPr>
        <w:t xml:space="preserve">Der Beklagte hat am 29.04.2025 beim Nachlassgericht Stuttgart die Erbschaft ausgeschlagen. Die Wirksamkeit dieser Ausschlagung ist streitig; die Sechswochenfrist des § 1944 BGB dürfte verstrichen gewesen sein. Selbst wenn die Ausschlagung wirksam ist, haftet der Beklagte nach § 2329 BGB als Beschenkter für Pflichtteilsergänzungsansprüche.</w:t>
      </w:r>
    </w:p>
    <w:p>
      <w:pPr>
        <w:spacing w:after="100"/>
      </w:pPr>
      <w:r>
        <w:t xml:space="preserve"/>
      </w:r>
    </w:p>
    <w:p>
      <w:pPr>
        <w:pStyle w:val="Heading2"/>
        <w:spacing w:after="120" w:before="300"/>
      </w:pPr>
      <w:r>
        <w:t xml:space="preserve">2. Schenkungen an den Beklagten</w:t>
      </w:r>
    </w:p>
    <w:tbl>
      <w:tblPr>
        <w:tblW w:type="dxa" w:w="9026"/>
        <w:tblBorders>
          <w:top w:val="single" w:color="auto" w:sz="4"/>
          <w:left w:val="single" w:color="auto" w:sz="4"/>
          <w:bottom w:val="single" w:color="auto" w:sz="4"/>
          <w:right w:val="single" w:color="auto" w:sz="4"/>
          <w:insideH w:val="single" w:color="auto" w:sz="4"/>
          <w:insideV w:val="single" w:color="auto" w:sz="4"/>
        </w:tblBorders>
      </w:tblPr>
      <w:tblGrid>
        <w:gridCol w:w="100"/>
        <w:gridCol w:w="100"/>
        <w:gridCol w:w="100"/>
        <w:gridCol w:w="100"/>
      </w:tblGrid>
      <w:tr>
        <w:trPr>
          <w:tblHeader/>
        </w:trPr>
        <w:tc>
          <w:tcPr>
            <w:shd w:fill="D4D1CA"/>
            <w:vAlign w:val="center"/>
          </w:tcPr>
          <w:p>
            <w:r>
              <w:rPr>
                <w:rFonts w:ascii="Calibri" w:cs="Calibri" w:eastAsia="Calibri" w:hAnsi="Calibri"/>
                <w:b/>
                <w:bCs/>
                <w:sz w:val="20"/>
                <w:szCs w:val="20"/>
              </w:rPr>
              <w:t xml:space="preserve">Nr.</w:t>
            </w:r>
          </w:p>
        </w:tc>
        <w:tc>
          <w:tcPr>
            <w:shd w:fill="D4D1CA"/>
            <w:vAlign w:val="center"/>
          </w:tcPr>
          <w:p>
            <w:r>
              <w:rPr>
                <w:rFonts w:ascii="Calibri" w:cs="Calibri" w:eastAsia="Calibri" w:hAnsi="Calibri"/>
                <w:b/>
                <w:bCs/>
                <w:sz w:val="20"/>
                <w:szCs w:val="20"/>
              </w:rPr>
              <w:t xml:space="preserve">Datum</w:t>
            </w:r>
          </w:p>
        </w:tc>
        <w:tc>
          <w:tcPr>
            <w:shd w:fill="D4D1CA"/>
            <w:vAlign w:val="center"/>
          </w:tcPr>
          <w:p>
            <w:r>
              <w:rPr>
                <w:rFonts w:ascii="Calibri" w:cs="Calibri" w:eastAsia="Calibri" w:hAnsi="Calibri"/>
                <w:b/>
                <w:bCs/>
                <w:sz w:val="20"/>
                <w:szCs w:val="20"/>
              </w:rPr>
              <w:t xml:space="preserve">Gegenstand</w:t>
            </w:r>
          </w:p>
        </w:tc>
        <w:tc>
          <w:tcPr>
            <w:shd w:fill="D4D1CA"/>
            <w:vAlign w:val="center"/>
          </w:tcPr>
          <w:p>
            <w:r>
              <w:rPr>
                <w:rFonts w:ascii="Calibri" w:cs="Calibri" w:eastAsia="Calibri" w:hAnsi="Calibri"/>
                <w:b/>
                <w:bCs/>
                <w:sz w:val="20"/>
                <w:szCs w:val="20"/>
              </w:rPr>
              <w:t xml:space="preserve">Betrag (EUR)</w:t>
            </w:r>
          </w:p>
        </w:tc>
      </w:tr>
      <w:tr>
        <w:tc>
          <w:p>
            <w:r>
              <w:rPr>
                <w:rFonts w:ascii="Calibri" w:cs="Calibri" w:eastAsia="Calibri" w:hAnsi="Calibri"/>
                <w:sz w:val="20"/>
                <w:szCs w:val="20"/>
              </w:rPr>
              <w:t xml:space="preserve">C-1</w:t>
            </w:r>
          </w:p>
        </w:tc>
        <w:tc>
          <w:p>
            <w:r>
              <w:rPr>
                <w:rFonts w:ascii="Calibri" w:cs="Calibri" w:eastAsia="Calibri" w:hAnsi="Calibri"/>
                <w:sz w:val="20"/>
                <w:szCs w:val="20"/>
              </w:rPr>
              <w:t xml:space="preserve">08.10.2020</w:t>
            </w:r>
          </w:p>
        </w:tc>
        <w:tc>
          <w:p>
            <w:r>
              <w:rPr>
                <w:rFonts w:ascii="Calibri" w:cs="Calibri" w:eastAsia="Calibri" w:hAnsi="Calibri"/>
                <w:sz w:val="20"/>
                <w:szCs w:val="20"/>
              </w:rPr>
              <w:t xml:space="preserve">Überweisung Bargeld</w:t>
            </w:r>
          </w:p>
        </w:tc>
        <w:tc>
          <w:p>
            <w:r>
              <w:rPr>
                <w:rFonts w:ascii="Calibri" w:cs="Calibri" w:eastAsia="Calibri" w:hAnsi="Calibri"/>
                <w:sz w:val="20"/>
                <w:szCs w:val="20"/>
              </w:rPr>
              <w:t xml:space="preserve">120.000</w:t>
            </w:r>
          </w:p>
        </w:tc>
      </w:tr>
      <w:tr>
        <w:tc>
          <w:p>
            <w:r>
              <w:rPr>
                <w:rFonts w:ascii="Calibri" w:cs="Calibri" w:eastAsia="Calibri" w:hAnsi="Calibri"/>
                <w:sz w:val="20"/>
                <w:szCs w:val="20"/>
              </w:rPr>
              <w:t xml:space="preserve">C-2</w:t>
            </w:r>
          </w:p>
        </w:tc>
        <w:tc>
          <w:p>
            <w:r>
              <w:rPr>
                <w:rFonts w:ascii="Calibri" w:cs="Calibri" w:eastAsia="Calibri" w:hAnsi="Calibri"/>
                <w:sz w:val="20"/>
                <w:szCs w:val="20"/>
              </w:rPr>
              <w:t xml:space="preserve">14.06.2022</w:t>
            </w:r>
          </w:p>
        </w:tc>
        <w:tc>
          <w:p>
            <w:r>
              <w:rPr>
                <w:rFonts w:ascii="Calibri" w:cs="Calibri" w:eastAsia="Calibri" w:hAnsi="Calibri"/>
                <w:sz w:val="20"/>
                <w:szCs w:val="20"/>
              </w:rPr>
              <w:t xml:space="preserve">Überweisung Bargeld</w:t>
            </w:r>
          </w:p>
        </w:tc>
        <w:tc>
          <w:p>
            <w:r>
              <w:rPr>
                <w:rFonts w:ascii="Calibri" w:cs="Calibri" w:eastAsia="Calibri" w:hAnsi="Calibri"/>
                <w:sz w:val="20"/>
                <w:szCs w:val="20"/>
              </w:rPr>
              <w:t xml:space="preserve">140.000</w:t>
            </w:r>
          </w:p>
        </w:tc>
      </w:tr>
      <w:tr>
        <w:tc>
          <w:p>
            <w:r>
              <w:rPr>
                <w:rFonts w:ascii="Calibri" w:cs="Calibri" w:eastAsia="Calibri" w:hAnsi="Calibri"/>
                <w:sz w:val="20"/>
                <w:szCs w:val="20"/>
              </w:rPr>
              <w:t xml:space="preserve">C-3</w:t>
            </w:r>
          </w:p>
        </w:tc>
        <w:tc>
          <w:p>
            <w:r>
              <w:rPr>
                <w:rFonts w:ascii="Calibri" w:cs="Calibri" w:eastAsia="Calibri" w:hAnsi="Calibri"/>
                <w:sz w:val="20"/>
                <w:szCs w:val="20"/>
              </w:rPr>
              <w:t xml:space="preserve">22.12.2023</w:t>
            </w:r>
          </w:p>
        </w:tc>
        <w:tc>
          <w:p>
            <w:r>
              <w:rPr>
                <w:rFonts w:ascii="Calibri" w:cs="Calibri" w:eastAsia="Calibri" w:hAnsi="Calibri"/>
                <w:sz w:val="20"/>
                <w:szCs w:val="20"/>
              </w:rPr>
              <w:t xml:space="preserve">Überweisung Bargeld</w:t>
            </w:r>
          </w:p>
        </w:tc>
        <w:tc>
          <w:p>
            <w:r>
              <w:rPr>
                <w:rFonts w:ascii="Calibri" w:cs="Calibri" w:eastAsia="Calibri" w:hAnsi="Calibri"/>
                <w:sz w:val="20"/>
                <w:szCs w:val="20"/>
              </w:rPr>
              <w:t xml:space="preserve">120.000</w:t>
            </w:r>
          </w:p>
        </w:tc>
      </w:tr>
      <w:tr>
        <w:tc>
          <w:p>
            <w:r>
              <w:rPr>
                <w:rFonts w:ascii="Calibri" w:cs="Calibri" w:eastAsia="Calibri" w:hAnsi="Calibri"/>
                <w:sz w:val="20"/>
                <w:szCs w:val="20"/>
              </w:rPr>
              <w:t xml:space="preserve">K-1</w:t>
            </w:r>
          </w:p>
        </w:tc>
        <w:tc>
          <w:p>
            <w:r>
              <w:rPr>
                <w:rFonts w:ascii="Calibri" w:cs="Calibri" w:eastAsia="Calibri" w:hAnsi="Calibri"/>
                <w:sz w:val="20"/>
                <w:szCs w:val="20"/>
              </w:rPr>
              <w:t xml:space="preserve">07.02.2021</w:t>
            </w:r>
          </w:p>
        </w:tc>
        <w:tc>
          <w:p>
            <w:r>
              <w:rPr>
                <w:rFonts w:ascii="Calibri" w:cs="Calibri" w:eastAsia="Calibri" w:hAnsi="Calibri"/>
                <w:sz w:val="20"/>
                <w:szCs w:val="20"/>
              </w:rPr>
              <w:t xml:space="preserve">BTC-Auszahlung (ca. 0,80 BTC)</w:t>
            </w:r>
          </w:p>
        </w:tc>
        <w:tc>
          <w:p>
            <w:r>
              <w:rPr>
                <w:rFonts w:ascii="Calibri" w:cs="Calibri" w:eastAsia="Calibri" w:hAnsi="Calibri"/>
                <w:sz w:val="20"/>
                <w:szCs w:val="20"/>
              </w:rPr>
              <w:t xml:space="preserve">30.880</w:t>
            </w:r>
          </w:p>
        </w:tc>
      </w:tr>
      <w:tr>
        <w:tc>
          <w:p>
            <w:r>
              <w:rPr>
                <w:rFonts w:ascii="Calibri" w:cs="Calibri" w:eastAsia="Calibri" w:hAnsi="Calibri"/>
                <w:sz w:val="20"/>
                <w:szCs w:val="20"/>
              </w:rPr>
              <w:t xml:space="preserve">K-2</w:t>
            </w:r>
          </w:p>
        </w:tc>
        <w:tc>
          <w:p>
            <w:r>
              <w:rPr>
                <w:rFonts w:ascii="Calibri" w:cs="Calibri" w:eastAsia="Calibri" w:hAnsi="Calibri"/>
                <w:sz w:val="20"/>
                <w:szCs w:val="20"/>
              </w:rPr>
              <w:t xml:space="preserve">12.12.2022</w:t>
            </w:r>
          </w:p>
        </w:tc>
        <w:tc>
          <w:p>
            <w:r>
              <w:rPr>
                <w:rFonts w:ascii="Calibri" w:cs="Calibri" w:eastAsia="Calibri" w:hAnsi="Calibri"/>
                <w:sz w:val="20"/>
                <w:szCs w:val="20"/>
              </w:rPr>
              <w:t xml:space="preserve">BTC-Auszahlung (ca. 1,20 BTC)</w:t>
            </w:r>
          </w:p>
        </w:tc>
        <w:tc>
          <w:p>
            <w:r>
              <w:rPr>
                <w:rFonts w:ascii="Calibri" w:cs="Calibri" w:eastAsia="Calibri" w:hAnsi="Calibri"/>
                <w:sz w:val="20"/>
                <w:szCs w:val="20"/>
              </w:rPr>
              <w:t xml:space="preserve">19.440</w:t>
            </w:r>
          </w:p>
        </w:tc>
      </w:tr>
      <w:tr>
        <w:tc>
          <w:p>
            <w:r>
              <w:rPr>
                <w:rFonts w:ascii="Calibri" w:cs="Calibri" w:eastAsia="Calibri" w:hAnsi="Calibri"/>
                <w:sz w:val="20"/>
                <w:szCs w:val="20"/>
              </w:rPr>
              <w:t xml:space="preserve">K-3</w:t>
            </w:r>
          </w:p>
        </w:tc>
        <w:tc>
          <w:p>
            <w:r>
              <w:rPr>
                <w:rFonts w:ascii="Calibri" w:cs="Calibri" w:eastAsia="Calibri" w:hAnsi="Calibri"/>
                <w:sz w:val="20"/>
                <w:szCs w:val="20"/>
              </w:rPr>
              <w:t xml:space="preserve">23.12.2022</w:t>
            </w:r>
          </w:p>
        </w:tc>
        <w:tc>
          <w:p>
            <w:r>
              <w:rPr>
                <w:rFonts w:ascii="Calibri" w:cs="Calibri" w:eastAsia="Calibri" w:hAnsi="Calibri"/>
                <w:sz w:val="20"/>
                <w:szCs w:val="20"/>
              </w:rPr>
              <w:t xml:space="preserve">ETH-Auszahlung (ca. 8,00 ETH)</w:t>
            </w:r>
          </w:p>
        </w:tc>
        <w:tc>
          <w:p>
            <w:r>
              <w:rPr>
                <w:rFonts w:ascii="Calibri" w:cs="Calibri" w:eastAsia="Calibri" w:hAnsi="Calibri"/>
                <w:sz w:val="20"/>
                <w:szCs w:val="20"/>
              </w:rPr>
              <w:t xml:space="preserve">9.440</w:t>
            </w:r>
          </w:p>
        </w:tc>
      </w:tr>
      <w:tr>
        <w:tc>
          <w:p>
            <w:r>
              <w:rPr>
                <w:rFonts w:ascii="Calibri" w:cs="Calibri" w:eastAsia="Calibri" w:hAnsi="Calibri"/>
                <w:sz w:val="20"/>
                <w:szCs w:val="20"/>
              </w:rPr>
              <w:t xml:space="preserve">K-4</w:t>
            </w:r>
          </w:p>
        </w:tc>
        <w:tc>
          <w:p>
            <w:r>
              <w:rPr>
                <w:rFonts w:ascii="Calibri" w:cs="Calibri" w:eastAsia="Calibri" w:hAnsi="Calibri"/>
                <w:sz w:val="20"/>
                <w:szCs w:val="20"/>
              </w:rPr>
              <w:t xml:space="preserve">15.03.2024</w:t>
            </w:r>
          </w:p>
        </w:tc>
        <w:tc>
          <w:p>
            <w:r>
              <w:rPr>
                <w:rFonts w:ascii="Calibri" w:cs="Calibri" w:eastAsia="Calibri" w:hAnsi="Calibri"/>
                <w:sz w:val="20"/>
                <w:szCs w:val="20"/>
              </w:rPr>
              <w:t xml:space="preserve">ETH-Auszahlung (ca. 2,00 ETH)</w:t>
            </w:r>
          </w:p>
        </w:tc>
        <w:tc>
          <w:p>
            <w:r>
              <w:rPr>
                <w:rFonts w:ascii="Calibri" w:cs="Calibri" w:eastAsia="Calibri" w:hAnsi="Calibri"/>
                <w:sz w:val="20"/>
                <w:szCs w:val="20"/>
              </w:rPr>
              <w:t xml:space="preserve">6.240</w:t>
            </w:r>
          </w:p>
        </w:tc>
      </w:tr>
      <w:tr>
        <w:tc>
          <w:p>
            <w:r>
              <w:rPr>
                <w:rFonts w:ascii="Calibri" w:cs="Calibri" w:eastAsia="Calibri" w:hAnsi="Calibri"/>
                <w:sz w:val="20"/>
                <w:szCs w:val="20"/>
              </w:rPr>
              <w:t xml:space="preserve"/>
            </w:r>
          </w:p>
        </w:tc>
        <w:tc>
          <w:p>
            <w:r>
              <w:rPr>
                <w:rFonts w:ascii="Calibri" w:cs="Calibri" w:eastAsia="Calibri" w:hAnsi="Calibri"/>
                <w:sz w:val="20"/>
                <w:szCs w:val="20"/>
              </w:rPr>
              <w:t xml:space="preserve">Gesamt</w:t>
            </w:r>
          </w:p>
        </w:tc>
        <w:tc>
          <w:p>
            <w:r>
              <w:rPr>
                <w:rFonts w:ascii="Calibri" w:cs="Calibri" w:eastAsia="Calibri" w:hAnsi="Calibri"/>
                <w:sz w:val="20"/>
                <w:szCs w:val="20"/>
              </w:rPr>
              <w:t xml:space="preserve"/>
            </w:r>
          </w:p>
        </w:tc>
        <w:tc>
          <w:p>
            <w:r>
              <w:rPr>
                <w:rFonts w:ascii="Calibri" w:cs="Calibri" w:eastAsia="Calibri" w:hAnsi="Calibri"/>
                <w:sz w:val="20"/>
                <w:szCs w:val="20"/>
              </w:rPr>
              <w:t xml:space="preserve">446.000</w:t>
            </w:r>
          </w:p>
        </w:tc>
      </w:tr>
    </w:tbl>
    <w:p>
      <w:pPr>
        <w:spacing w:after="100"/>
      </w:pPr>
      <w:r>
        <w:t xml:space="preserve"/>
      </w:r>
    </w:p>
    <w:p>
      <w:pPr>
        <w:pStyle w:val="Heading1"/>
        <w:spacing w:after="200" w:before="400"/>
      </w:pPr>
      <w:r>
        <w:t xml:space="preserve">III. Rechtliche Ausführungen</w:t>
      </w:r>
    </w:p>
    <w:p>
      <w:pPr>
        <w:spacing w:after="100"/>
      </w:pPr>
      <w:r>
        <w:rPr>
          <w:rFonts w:ascii="Calibri" w:cs="Calibri" w:eastAsia="Calibri" w:hAnsi="Calibri"/>
          <w:b w:val="false"/>
          <w:bCs w:val="false"/>
          <w:sz w:val="22"/>
          <w:szCs w:val="22"/>
        </w:rPr>
        <w:t xml:space="preserve">Der Pflichtteilsergänzungsanspruch der Klägerin ergibt sich aus §§ 2325, 2329 BGB. Die Klägerin ist nach § 2303 Abs. 1 BGB pflichtteilsberechtigt (gesetzlicher Erbteil 1/6, Pflichtteil 1/12). Der fiktive Nachlass unter Einbeziehung der Schenkungen an den Beklagten beträgt nach vorläufiger Berechnung mindestens 4.500.000 EUR. Der Pflichtteilsergänzungsanspruch (Differenz Ergänzungspflichtteil − ordentlicher Pflichtteil) beläuft sich auf vorläufig ca. 40.000–85.000 EUR, je nach Feststellung der Schenkungswerte im Wege der Auskunft.</w:t>
      </w:r>
    </w:p>
    <w:p>
      <w:pPr>
        <w:spacing w:after="100"/>
      </w:pPr>
      <w:r>
        <w:t xml:space="preserve"/>
      </w:r>
    </w:p>
    <w:p>
      <w:pPr>
        <w:spacing w:after="100"/>
      </w:pPr>
      <w:r>
        <w:rPr>
          <w:rFonts w:ascii="Calibri" w:cs="Calibri" w:eastAsia="Calibri" w:hAnsi="Calibri"/>
          <w:b w:val="false"/>
          <w:bCs w:val="false"/>
          <w:sz w:val="22"/>
          <w:szCs w:val="22"/>
        </w:rPr>
        <w:t xml:space="preserve">Der Auskunftsanspruch ergibt sich aus § 2314 BGB analog sowie § 242 BGB (BGH 10.01.2018 IV ZR 262/16). Die Klage ist als Stufenklage nach § 254 ZPO erhoben.</w:t>
      </w:r>
    </w:p>
    <w:p>
      <w:pPr>
        <w:spacing w:after="100"/>
      </w:pPr>
      <w:r>
        <w:t xml:space="preserve"/>
      </w:r>
    </w:p>
    <w:p>
      <w:pPr>
        <w:spacing w:before="600"/>
      </w:pPr>
      <w:r>
        <w:rPr>
          <w:rFonts w:ascii="Calibri" w:cs="Calibri" w:eastAsia="Calibri" w:hAnsi="Calibri"/>
          <w:i/>
          <w:iCs/>
          <w:sz w:val="22"/>
          <w:szCs w:val="22"/>
        </w:rPr>
        <w:t xml:space="preserve">RAin Sabine Steinkamp (Klageverfasserin)</w:t>
      </w: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Klageschrift Pflichtteilsergänzung Henrike ./. Constantin</dc:title>
  <dc:creator>Perplexity Computer</dc:creator>
  <cp:lastModifiedBy>Un-named</cp:lastModifiedBy>
  <cp:revision>1</cp:revision>
  <dcterms:created xsi:type="dcterms:W3CDTF">2026-05-30T14:37:22.665Z</dcterms:created>
  <dcterms:modified xsi:type="dcterms:W3CDTF">2026-05-30T14:37:22.665Z</dcterms:modified>
</cp:coreProperties>
</file>

<file path=docProps/custom.xml><?xml version="1.0" encoding="utf-8"?>
<Properties xmlns="http://schemas.openxmlformats.org/officeDocument/2006/custom-properties" xmlns:vt="http://schemas.openxmlformats.org/officeDocument/2006/docPropsVTypes"/>
</file>