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b/>
          <w:color w:val="0B5D63"/>
          <w:sz w:val="20"/>
        </w:rPr>
        <w:t>Riedblick Sensorik GmbH</w:t>
      </w:r>
    </w:p>
    <w:p>
      <w:pPr>
        <w:pStyle w:val="Heading1"/>
        <w:jc w:val="left"/>
      </w:pPr>
      <w:r>
        <w:t>Einspruch gegen Kürzung der Forschungszulage</w:t>
      </w:r>
    </w:p>
    <w:p>
      <w:r>
        <w:rPr>
          <w:i/>
        </w:rPr>
        <w:t>Entwurf Finanzamt Bad Homburg, Arbeitsstand</w:t>
      </w:r>
    </w:p>
    <w:p>
      <w:pPr>
        <w:pStyle w:val="Heading2"/>
      </w:pPr>
      <w:r>
        <w:t>Antrag</w:t>
      </w:r>
    </w:p>
    <w:p>
      <w:r>
        <w:t>Namens und im Auftrag der Riedblick Sensorik GmbH wird beantragt, die Kürzung der Bemessungsgrundlage hinsichtlich der gut belegten Arbeitspakete AP2, AP3 und AP5 zurückzunehmen und die festgesetzte Forschungszulage entsprechend zu erhöhen.</w:t>
      </w:r>
    </w:p>
    <w:p>
      <w:pPr>
        <w:pStyle w:val="Heading2"/>
      </w:pPr>
      <w:r>
        <w:t>Begründung</w:t>
      </w:r>
    </w:p>
    <w:p>
      <w:r>
        <w:t>Die streitigen Tätigkeiten dienten nicht der bloßen Markteinführung, sondern der Bearbeitung technischer Unsicherheiten bei der Drift-Erkennung. Die aktualisierte Belegmatrix ordnet die Stunden tages- und arbeitspaketbezogen zu.</w:t>
      </w:r>
    </w:p>
    <w:p>
      <w:pPr>
        <w:pStyle w:val="Heading2"/>
      </w:pPr>
      <w:r>
        <w:t>Teilweise Bereinigung</w:t>
      </w:r>
    </w:p>
    <w:p>
      <w:r>
        <w:t>Die Mandantin hält an Dashboard-, Vertriebs- und Standard-QA-Positionen nicht fest, soweit diese nicht mit technischer Unsicherheit verknüpft sind. Diese Bereinigung zeigt, dass die verbleibenden Positionen nicht pauschal behauptet werden.</w:t>
      </w:r>
    </w:p>
    <w:p>
      <w:pPr>
        <w:pStyle w:val="Heading2"/>
      </w:pPr>
      <w:r>
        <w:t>Auftragsforschung</w:t>
      </w:r>
    </w:p>
    <w:p>
      <w:r>
        <w:t>Für Lusitano wird ein ergänzender Leistungsbericht mit Unterauftrags- und Kostenanteilen vorgelegt. Hilfsweise wird eine Teilanerkennung der eindeutig von Lusitano selbst erbrachten Forschungsleistungen beantragt.</w:t>
      </w:r>
    </w:p>
    <w:sectPr w:rsidR="00FC693F" w:rsidRPr="0006063C"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