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rPr>
          <w:b/>
          <w:color w:val="0B5D63"/>
          <w:sz w:val="20"/>
        </w:rPr>
        <w:t>Riedblick Sensorik GmbH</w:t>
      </w:r>
    </w:p>
    <w:p>
      <w:pPr>
        <w:pStyle w:val="Heading1"/>
        <w:jc w:val="left"/>
      </w:pPr>
      <w:r>
        <w:t>Vorlage Geschäftsführung und Banktermin</w:t>
      </w:r>
    </w:p>
    <w:p>
      <w:r>
        <w:rPr>
          <w:i/>
        </w:rPr>
        <w:t>Forschungszulage als Liquiditätsbaustein, nicht als sicherer Sofortzufluss</w:t>
      </w:r>
    </w:p>
    <w:p>
      <w:pPr>
        <w:pStyle w:val="Heading2"/>
      </w:pPr>
      <w:r>
        <w:t>Management Summary</w:t>
      </w:r>
    </w:p>
    <w:p>
      <w:r>
        <w:t>Die Forschungszulage ist plausibel, aber nicht in voller interner Rohsumme belastbar. Für die Liquiditätsplanung sollte eine konservative Zahlung erst nach technischem und steuerlichem Verfahren angesetzt werden.</w:t>
      </w:r>
    </w:p>
    <w:p>
      <w:pPr>
        <w:pStyle w:val="Heading2"/>
      </w:pPr>
      <w:r>
        <w:t>Empfohlene Kommunikation</w:t>
      </w:r>
    </w:p>
    <w:p>
      <w:r>
        <w:t>Gegenüber Bank und Investoren wird ein dreistufiges Modell empfohlen: konservativ ohne Zufluss 2026, realistisch mit bereinigtem Zufluss 2027, optimistisch nur als Upside.</w:t>
      </w:r>
    </w:p>
    <w:p>
      <w:pPr>
        <w:pStyle w:val="Heading2"/>
      </w:pPr>
      <w:r>
        <w:t>Entscheidung</w:t>
      </w:r>
    </w:p>
    <w:p>
      <w:r>
        <w:t>Die Geschäftsführung soll die freiwillige Bereinigung schwacher Positionen freigeben und gleichzeitig die starken FuE-Kerne konsequent verteidigen.</w:t>
      </w:r>
    </w:p>
    <w:sectPr w:rsidR="00FC693F" w:rsidRPr="0006063C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