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TERM SHEET WANDELDARLEHEN</w:t>
      </w:r>
    </w:p>
    <w:p>
      <w:pPr>
        <w:jc w:val="center"/>
      </w:pPr>
      <w:r>
        <w:rPr>
          <w:i/>
          <w:sz w:val="22"/>
        </w:rPr>
        <w:t>Sonnenglas Solartechnologie UG (haftungsbeschränkt) · Northstar Pre-Seed Partners GmbH &amp; Co. KG</w:t>
      </w:r>
    </w:p>
    <w:p>
      <w:pPr>
        <w:jc w:val="center"/>
      </w:pPr>
      <w:r>
        <w:rPr>
          <w:i/>
          <w:sz w:val="18"/>
        </w:rPr>
        <w:t>15. April 2026 · unverbindlich, vorbehaltlich finaler Verhandlung und KYC-Abschluss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2"/>
              </w:rPr>
              <w:t>Parameter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b/>
                <w:sz w:val="22"/>
              </w:rPr>
              <w:t>Wert / Bedingung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Darlehensbetrag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EUR 250.000 (Tranche 1 von ggf. mehreren späteren Wandeldarlehen)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Auszahlung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Einmalauszahlung, 7 Bankarbeitstage nach Unterzeichnung und Eintritt der CPs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Aufschiebende Bedingungen (CPs)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KYC-Identifikation der Gesellschafterinnen abgeschlossen · Vorstandsbeschluss Northstar zur Investitionsfreigabe · vollständige Unterzeichnung durch alle Parteien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Laufzeit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24 Monate fest, keine ordentliche Kündigung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Zinssatz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6,0 % p. a., act/360, nicht unterjährig zahlbar, Auflauf bis Wandlung oder Fälligkeit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Wandlungstrigger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Qualified Financing (≥ EUR 1.000.000 frisches Eigenkapital, Pre-Money ≥ EUR 4.000.000) · Share Deal · Asset Deal · Fusion / IPO · Maturity (Ablauf der Festen Laufzeit)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Mindestschwellen Qualified Financing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≥ EUR 1.000.000 frisches Eigenkapital · Pre-Money ≥ EUR 4.000.000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Valuation Cap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EUR 4.000.000 (Pre-Money)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Discount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20 % auf Rundenpreis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Wandlungspreis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MIN(Rundenpreis · Discount-Preis · Cap-Preis), Aufrundung auf nächsten ganzen Nennwert-Euro nach § 5 Abs. 1 GmbHG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Most-Favoured-Nation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Ja, auf Konditionen späterer Wandeldarlehen oder nachrangiger Darlehen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Pro-rata-Recht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Pro-rata-Beteiligung an Qualified Financing zu Investorenkonditionen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Liquidationspräferenz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1,0x non-participating, Wahlrecht im Liquidation Event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Fall-back-Bewertung bei Maturity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EUR 4.000.000 Pre-Money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Qualifizierter Rangrücktritt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Ja, gemäß BGH-Rechtsprechung (BGH IX ZR 133/14; IX ZR 191/15); Vertrag zugunsten Dritter nach § 328 BGB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Informationsrechte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Monatliche BWA, Quartals-Reporting, Information-Rights-MFN, Einsichtsrecht 1x p.a.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Form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Textform (§ 126b BGB), DocuSign zulässig; Beurkundungspflicht nur für Kapitalerhöhungs- und Übernahmeerklärung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Anwendbares Recht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Deutsches Recht, CISG ausgeschlossen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Gerichtsstand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Berlin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Sprache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Bilingual DE/EN; deutsche Fassung verbindlich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Exklusivität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90 Tage No-Shop ab Unterzeichnung dieses Term Sheets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Vertraulichkeit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Beidseitig, mit Ausnahmen für Berater, verbundene Unternehmen, Behörden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Kostenregelung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Jede Partei trägt ihre eigenen Beraterkosten. Notarkosten der Wandlung trägt die Gesellschaft.</w:t>
            </w:r>
          </w:p>
        </w:tc>
      </w:tr>
      <w:tr>
        <w:tc>
          <w:tcPr>
            <w:tcW w:type="dxa" w:w="3118"/>
          </w:tcPr>
          <w:p>
            <w:pPr>
              <w:spacing w:after="80" w:before="0"/>
            </w:pPr>
            <w:r>
              <w:rPr>
                <w:b/>
                <w:sz w:val="20"/>
              </w:rPr>
              <w:t>Verbindlichkeit</w:t>
            </w:r>
          </w:p>
        </w:tc>
        <w:tc>
          <w:tcPr>
            <w:tcW w:type="dxa" w:w="6520"/>
          </w:tcPr>
          <w:p>
            <w:pPr>
              <w:spacing w:after="80" w:before="0"/>
            </w:pPr>
            <w:r>
              <w:rPr>
                <w:sz w:val="20"/>
              </w:rPr>
              <w:t>Unverbindlich, mit Ausnahme der Klauseln zu Exklusivität, Vertraulichkeit, Kosten und anwendbarem Recht</w:t>
            </w:r>
          </w:p>
        </w:tc>
      </w:tr>
    </w:tbl>
    <w:p/>
    <w:p>
      <w:r>
        <w:rPr>
          <w:i/>
          <w:sz w:val="18"/>
        </w:rPr>
        <w:t>Unterzeichner Sonnenglas: Dr. Mira Schoeneck · Unterzeichner Northstar: Henrik Brendelmann</w:t>
      </w:r>
    </w:p>
    <w:p>
      <w:r>
        <w:t>Berlin / Frankfurt am Main, 15. April 2026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